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32"/>
          <w:szCs w:val="32"/>
        </w:rPr>
        <w:t xml:space="preserve">CONTRACT REVIEW MEMORANDUM</w:t>
      </w:r>
    </w:p>
    <w:p>
      <w:pPr>
        <w:jc w:val="center"/>
      </w:pPr>
      <w:r>
        <w:rPr>
          <w:b/>
          <w:bCs/>
          <w:color w:val="CC0000"/>
          <w:sz w:val="20"/>
          <w:szCs w:val="20"/>
        </w:rPr>
        <w:t xml:space="preserve">PRIVATE NEGOTIATION PREPARATION — INCLUDES FALLBACK POSITIONS</w:t>
      </w:r>
    </w:p>
    <w:p/>
    <w:p>
      <w:r>
        <w:rPr>
          <w:color w:val="CCCCCC"/>
        </w:rPr>
        <w:t xml:space="preserve">────────────────────────────────────────────────────────────</w:t>
      </w:r>
    </w:p>
    <w:p/>
    <w:p>
      <w:r>
        <w:rPr>
          <w:b/>
          <w:bCs/>
        </w:rPr>
        <w:t xml:space="preserve">Contract:  </w:t>
      </w:r>
      <w:r>
        <w:t xml:space="preserve">nda-2026-09-28.docx</w:t>
      </w:r>
    </w:p>
    <w:p>
      <w:r>
        <w:rPr>
          <w:b/>
          <w:bCs/>
        </w:rPr>
        <w:t xml:space="preserve">Date:  </w:t>
      </w:r>
      <w:r>
        <w:t xml:space="preserve">September 28, 2026</w:t>
      </w:r>
    </w:p>
    <w:p>
      <w:r>
        <w:rPr>
          <w:b/>
          <w:bCs/>
        </w:rPr>
        <w:t xml:space="preserve">Overall Risk:  </w:t>
      </w:r>
      <w:r>
        <w:rPr>
          <w:b/>
          <w:bCs/>
          <w:color w:val="CC0000"/>
        </w:rPr>
        <w:t xml:space="preserve">HIGH</w:t>
      </w:r>
    </w:p>
    <w:p>
      <w:r>
        <w:rPr>
          <w:color w:val="555555"/>
        </w:rPr>
        <w:t xml:space="preserve">NDA / Confidentiality Agreement   |   Receiving Party   |   England &amp; Wales (English Law)</w:t>
      </w:r>
    </w:p>
    <w:p/>
    <w:p>
      <w:pPr>
        <w:pStyle w:val="Heading1"/>
      </w:pPr>
      <w:r>
        <w:t xml:space="preserve">1.  EXECUTIVE SUMMARY</w:t>
      </w:r>
    </w:p>
    <w:p>
      <w:r>
        <w:t xml:space="preserve">This is a one-way confidentiality agreement under which Cedar Research Ltd. ("Recipient") would receive information from Alder Signal Ltd. ("Discloser") solely to evaluate a proposed market research project. The operative duties fall entirely on the Recipient: the definition of Confidential Information has no public-domain, prior-knowledge or independent-development exclusions; onward disclosure to professional advisers, contractors and cloud providers requires prior written consent in each case; confidentiality survives indefinitely; deletion of all copies including backups and legally required records is required within two business days; and the Recipient must indemnify the Discloser against all losses arising from any disclosure, without a financial limit and regardless of fault. English law and the exclusive jurisdiction of the courts of England and Wales are stated. The Recipient should not sign in this form without narrowing the definition, restoring standard exclusions, permitting adviser and vendor disclosures, capping and fault-qualifying liability, and introducing a workable retention/deletion mechanism.</w:t>
      </w:r>
    </w:p>
    <w:p/>
    <w:p>
      <w:pPr>
        <w:pStyle w:val="Heading1"/>
      </w:pPr>
      <w:r>
        <w:t xml:space="preserve">2.  REVIEW CONTEXT</w:t>
      </w:r>
    </w:p>
    <w:p>
      <w:r>
        <w:rPr>
          <w:b/>
          <w:bCs/>
        </w:rPr>
        <w:t xml:space="preserve">Selected Review Mode:  </w:t>
      </w:r>
      <w:r>
        <w:t xml:space="preserve">NDA / Confidentiality Agreement</w:t>
      </w:r>
    </w:p>
    <w:p>
      <w:r>
        <w:rPr>
          <w:b/>
          <w:bCs/>
        </w:rPr>
        <w:t xml:space="preserve">Reviewer Role:  </w:t>
      </w:r>
      <w:r>
        <w:t xml:space="preserve">Receiving Party</w:t>
      </w:r>
    </w:p>
    <w:p>
      <w:r>
        <w:rPr>
          <w:b/>
          <w:bCs/>
        </w:rPr>
        <w:t xml:space="preserve">Jurisdiction:  </w:t>
      </w:r>
      <w:r>
        <w:t xml:space="preserve">England &amp; Wales (English Law)</w:t>
      </w:r>
    </w:p>
    <w:p>
      <w:r>
        <w:rPr>
          <w:b/>
          <w:bCs/>
        </w:rPr>
        <w:t xml:space="preserve">Detected Document Type:  </w:t>
      </w:r>
      <w:r>
        <w:t xml:space="preserve">Non-Disclosure Agreement</w:t>
      </w:r>
    </w:p>
    <w:p/>
    <w:p>
      <w:pPr>
        <w:pStyle w:val="Heading1"/>
      </w:pPr>
      <w:r>
        <w:t xml:space="preserve">3.  NEGOTIATION POSTURE</w:t>
      </w:r>
    </w:p>
    <w:p>
      <w:r>
        <w:t xml:space="preserve">Priorities for Cedar Research: (1) re-scope and cap the clause 7 indemnity so it applies only to loss caused by the Recipient's breach or negligence, is limited to direct losses up to a negotiated ceiling, and excludes indirect loss, while preserving the Discloser's right to injunctive relief; (2) restore the standard exclusions in clause 2 (public domain, prior possession, independent development, lawful third-party receipt); (3) replace indefinite confidentiality with a finite term and a longer finite term only for identified trade secrets; (4) replace per-instance consent for advisers, contractors and cloud providers with a flow-down regime or a notice-and-objection mechanism; (5) make deletion workable by extending the period, permitting retention of legally required records and ordinary-course backups, and qualifying the certificate; (6) convert the notices clause to a deemed-receipt regime. Open on liability and definition exclusions as a package, since these are likely to be the Discloser's core concerns. Reciprocal confidentiality for Cedar Research's own information, a data-protection clause and a normal deemed-receipt notice rule are lower-cost asks to trade for concessions. All monetary figures and timeframes in the negotiation points below are illustrative proposals, not existing contract terms.</w:t>
      </w:r>
    </w:p>
    <w:p/>
    <w:p>
      <w:pPr>
        <w:pStyle w:val="Heading1"/>
      </w:pPr>
      <w:r>
        <w:t xml:space="preserve">4.  CLASSIFICATION SUMMARY</w:t>
      </w:r>
    </w:p>
    <w:p>
      <w:r>
        <w:rPr>
          <w:b/>
          <w:bCs/>
        </w:rPr>
        <w:t xml:space="preserve">Clause Review Matrix:  </w:t>
      </w:r>
      <w:r>
        <w:t xml:space="preserve">3 acceptable / 6 needs review / 0 missing</w:t>
      </w:r>
    </w:p>
    <w:p>
      <w:r>
        <w:rPr>
          <w:b/>
          <w:bCs/>
        </w:rPr>
        <w:t xml:space="preserve">Findings:  </w:t>
      </w:r>
      <w:r>
        <w:t xml:space="preserve">4 unacceptable / 3 needs review / 0 acceptable</w:t>
      </w:r>
    </w:p>
    <w:p/>
    <w:p>
      <w:pPr>
        <w:pStyle w:val="Heading1"/>
      </w:pPr>
      <w:r>
        <w:t xml:space="preserve">5.  MUST FIX BEFORE SIGNING</w:t>
      </w:r>
    </w:p>
    <w:p>
      <w:pPr>
        <w:pStyle w:val="ListParagraph"/>
        <w:numPr>
          <w:ilvl w:val="0"/>
          <w:numId w:val="1"/>
        </w:numPr>
      </w:pPr>
      <w:r>
        <w:t xml:space="preserve">Replace the no-fault unlimited indemnity with a liability provision that applies only to loss caused by the Recipient's breach of this agreement or negligence, caps total liability at a commercial figure (for example the greater of the fees actually payable for the project and a fixed sum), excludes indirect, special and consequential loss, and preserves the Discloser's right to seek injunctive or other equitable relief for actual or threatened misuse.</w:t>
      </w:r>
    </w:p>
    <w:p>
      <w:pPr>
        <w:pStyle w:val="ListParagraph"/>
        <w:numPr>
          <w:ilvl w:val="0"/>
          <w:numId w:val="1"/>
        </w:numPr>
      </w:pPr>
      <w:r>
        <w:t xml:space="preserve">Add the customary exclusions: information that is or becomes public through no fault of the Recipient; information the Recipient lawfully held without restriction before disclosure; information independently developed without use of or reference to the Confidential Information; and information lawfully received from a third party without restriction. Add that the Recipient may demonstrate any of these by its written records.</w:t>
      </w:r>
    </w:p>
    <w:p>
      <w:pPr>
        <w:pStyle w:val="ListParagraph"/>
        <w:numPr>
          <w:ilvl w:val="0"/>
          <w:numId w:val="1"/>
        </w:numPr>
      </w:pPr>
      <w:r>
        <w:t xml:space="preserve">Limit confidentiality to a defined period after disclosure or termination (for example three to five years from disclosure), with a longer but finite period (for example seven years) for trade secrets that remain trade secrets, and align the wording with the new exclusions in clause 2.</w:t>
      </w:r>
    </w:p>
    <w:p>
      <w:pPr>
        <w:pStyle w:val="ListParagraph"/>
        <w:numPr>
          <w:ilvl w:val="0"/>
          <w:numId w:val="1"/>
        </w:numPr>
      </w:pPr>
      <w:r>
        <w:t xml:space="preserve">Extend the deletion period to a workable timeframe (for example 30 days), require deletion of Confidential Information in the Recipient's possession or control rather than of records that must be retained by law, permit retention of backups until overwritten in the ordinary course and of records required by law or professional regulation (all subject to continuing confidentiality), and replace the absolute certificate with a certificate that no copy remains in active systems other than retained copies identified in the certificate.</w:t>
      </w:r>
    </w:p>
    <w:p/>
    <w:p>
      <w:pPr>
        <w:pStyle w:val="Heading1"/>
      </w:pPr>
      <w:r>
        <w:t xml:space="preserve">6.  KEY FINDINGS AND NEGOTIATION POSITIONS</w:t>
      </w:r>
    </w:p>
    <w:p/>
    <w:p>
      <w:r>
        <w:rPr>
          <w:b/>
          <w:bCs/>
          <w:sz w:val="24"/>
          <w:szCs w:val="24"/>
        </w:rPr>
        <w:t xml:space="preserve">1.  Uncapped, fault-neutral indemnity against the Recipient</w:t>
      </w:r>
    </w:p>
    <w:p>
      <w:r>
        <w:rPr>
          <w:b/>
          <w:bCs/>
        </w:rPr>
        <w:t xml:space="preserve">Severity:  </w:t>
      </w:r>
      <w:r>
        <w:rPr>
          <w:color w:val="CC0000"/>
        </w:rPr>
        <w:t xml:space="preserve">HIGH</w:t>
      </w:r>
      <w:r>
        <w:t xml:space="preserve">   |   </w:t>
      </w:r>
      <w:r>
        <w:rPr>
          <w:b/>
          <w:bCs/>
        </w:rPr>
        <w:t xml:space="preserve">Classification:  </w:t>
      </w:r>
      <w:r>
        <w:rPr>
          <w:color w:val="CC0000"/>
        </w:rPr>
        <w:t xml:space="preserve">UNACCEPTABLE</w:t>
      </w:r>
      <w:r>
        <w:t xml:space="preserve">   |   </w:t>
      </w:r>
      <w:r>
        <w:rPr>
          <w:b/>
          <w:bCs/>
        </w:rPr>
        <w:t xml:space="preserve">Negotiation Position:  </w:t>
      </w:r>
      <w:r>
        <w:t xml:space="preserve">STANDARD</w:t>
      </w:r>
    </w:p>
    <w:p>
      <w:r>
        <w:rPr>
          <w:b/>
          <w:bCs/>
        </w:rPr>
        <w:t xml:space="preserve">Location:  </w:t>
      </w:r>
      <w:r>
        <w:t xml:space="preserve">7 - 7. Liability and remedies - 7. Liability and remedies</w:t>
      </w:r>
    </w:p>
    <w:p>
      <w:r>
        <w:rPr>
          <w:b/>
          <w:bCs/>
        </w:rPr>
        <w:t xml:space="preserve">Contract Language:  </w:t>
      </w:r>
    </w:p>
    <w:p>
      <w:pPr>
        <w:ind w:left="400"/>
      </w:pPr>
      <w:r>
        <w:rPr>
          <w:i/>
          <w:iCs/>
          <w:color w:val="444444"/>
        </w:rPr>
        <w:t xml:space="preserve">"Recipient must indemnify Discloser against all losses of any kind arising from any disclosure, without a financial limit and regardless of fault."</w:t>
      </w:r>
    </w:p>
    <w:p>
      <w:r>
        <w:rPr>
          <w:b/>
          <w:bCs/>
        </w:rPr>
        <w:t xml:space="preserve">Issue:  </w:t>
      </w:r>
      <w:r>
        <w:t xml:space="preserve">Clause 7 requires the Recipient to indemnify the Discloser against "all losses of any kind arising from any disclosure, without a financial limit and regardless of fault". Read with clause 3 (prior written consent required for advisers, contractors and cloud providers) and clause 5 (indefinite confidentiality), even an innocent or lawfully compelled disclosure could trigger unlimited liability. There is no cap, no exclusion of indirect or consequential loss and no fault qualifier. The clause also reserves injunctive relief and other remedies, and it does not state whether it limits the Recipient's other obligations; that interpretation point should be recorded rather than assumed. Clause 4 imposes a reasonable-care standard but clause 7 does not link liability to breach of that standard.</w:t>
      </w:r>
    </w:p>
    <w:p>
      <w:r>
        <w:t xml:space="preserve">Related provisions:</w:t>
      </w:r>
    </w:p>
    <w:p>
      <w:r>
        <w:t xml:space="preserve">3. Permitted recipients: Disclosure to professional advisers, contractors or cloud service providers requires Discloser's prior written consent in each case.</w:t>
      </w:r>
    </w:p>
    <w:p>
      <w:r>
        <w:t xml:space="preserve">5. Duration: Recipient's confidentiality and use obligations continue indefinitely for all Confidential Information, including material that is no longer commercially sensitive.</w:t>
      </w:r>
    </w:p>
    <w:p>
      <w:r>
        <w:rPr>
          <w:b/>
          <w:bCs/>
        </w:rPr>
        <w:t xml:space="preserve">Standard Position:  </w:t>
      </w:r>
      <w:r>
        <w:t xml:space="preserve">A breach-based liability provision limited to direct losses up to a negotiated cap, excluding indirect and consequential loss, with injunctive relief preserved for actual or threatened misuse.</w:t>
      </w:r>
    </w:p>
    <w:p>
      <w:r>
        <w:rPr>
          <w:b/>
          <w:bCs/>
        </w:rPr>
        <w:t xml:space="preserve">Why It Matters:  </w:t>
      </w:r>
      <w:r>
        <w:t xml:space="preserve">The combination of "all losses", "without a financial limit" and "regardless of fault" turns any disclosure, including one occurring despite reasonable care, into an unlimited financial exposure. Nothing later in the document offsets it: clause 4's reasonable-care standard is not linked to clause 7, and clause 5's indefinite survival means the exposure does not expire when the two-year term ends.</w:t>
      </w:r>
    </w:p>
    <w:p>
      <w:r>
        <w:rPr>
          <w:b/>
          <w:bCs/>
        </w:rPr>
        <w:t xml:space="preserve">Business Impact:  </w:t>
      </w:r>
      <w:r>
        <w:t xml:space="preserve">Cedar Research would carry an open-ended balance-sheet liability for an evaluation-stage project. The maximum exposure cannot be quantified from the contract, which complicates insurance and internal risk approval, while Alder Signal faces no corresponding exposure for its own acts.</w:t>
      </w:r>
    </w:p>
    <w:p>
      <w:r>
        <w:rPr>
          <w:b/>
          <w:bCs/>
          <w:color w:val="CC6600"/>
        </w:rPr>
        <w:t xml:space="preserve">Financial Exposure:  </w:t>
      </w:r>
      <w:r>
        <w:rPr>
          <w:color w:val="CC6600"/>
        </w:rPr>
        <w:t xml:space="preserve">Unlimited on its face. For illustration only, the Recipient might propose a cap at the greater of the fees actually payable for the project and a fixed sum such as GBP 250,000, but the clause as written sets no ceiling.</w:t>
      </w:r>
    </w:p>
    <w:p>
      <w:r>
        <w:rPr>
          <w:b/>
          <w:bCs/>
        </w:rPr>
        <w:t xml:space="preserve">Requested Change:  </w:t>
      </w:r>
      <w:r>
        <w:t xml:space="preserve">Replace the no-fault unlimited indemnity with a liability provision that applies only to loss caused by the Recipient's breach of this agreement or negligence, caps total liability at a commercial figure (for example the greater of the fees actually payable for the project and a fixed sum), excludes indirect, special and consequential loss, and preserves the Discloser's right to seek injunctive or other equitable relief for actual or threatened misuse.</w:t>
      </w:r>
    </w:p>
    <w:p>
      <w:r>
        <w:rPr>
          <w:b/>
          <w:bCs/>
        </w:rPr>
        <w:t xml:space="preserve">Fallback Position:  </w:t>
      </w:r>
      <w:r>
        <w:t xml:space="preserve">If the Discloser insists on retaining an indemnity, add fault and causation wording, cap it at the greater of the fees actually payable and a fixed negotiated sum, and exclude indirect and consequential loss.</w:t>
      </w:r>
    </w:p>
    <w:p>
      <w:r>
        <w:rPr>
          <w:b/>
          <w:bCs/>
        </w:rPr>
        <w:t xml:space="preserve">Comment to Counterparty:  </w:t>
      </w:r>
      <w:r>
        <w:t xml:space="preserve">Alder Signal will want a strong remedy for sensitive information. The Recipient can accept a robust injunction right and a meaningful damages cap, but an unlimited, fault-neutral indemnity is disproportionate for a pre-award evaluation and should be traded against acceptance of the standard exclusions and permitted-recipient language.</w:t>
      </w:r>
    </w:p>
    <w:p>
      <w:r>
        <w:rPr>
          <w:b/>
          <w:bCs/>
          <w:color w:val="006600"/>
        </w:rPr>
        <w:t xml:space="preserve">Suggested Edit:  </w:t>
      </w:r>
    </w:p>
    <w:p>
      <w:pPr>
        <w:ind w:left="400"/>
      </w:pPr>
      <w:r>
        <w:rPr>
          <w:i/>
          <w:iCs/>
          <w:color w:val="006600"/>
        </w:rPr>
        <w:t xml:space="preserve">"If the Recipient breaches this agreement or is negligent in handling the Confidential Information, the Recipient shall compensate the Discloser for direct losses caused by that breach or negligence. The Recipient's total liability under or in connection with this agreement shall not exceed the greater of the fees actually payable by the Discloser to the Recipient for the Purpose and GBP 250,000. Neither party is liable for indirect, special or consequential loss. Nothing in this clause excludes or limits the Discloser's right to seek injunctive or other equitable relief for any actual or threatened unauthorised use or disclosure of Confidential Information."</w:t>
      </w:r>
    </w:p>
    <w:p>
      <w:r>
        <w:rPr>
          <w:color w:val="CCCCCC"/>
        </w:rPr>
        <w:t xml:space="preserve">────────────────────────────────────────</w:t>
      </w:r>
    </w:p>
    <w:p/>
    <w:p>
      <w:r>
        <w:rPr>
          <w:b/>
          <w:bCs/>
          <w:sz w:val="24"/>
          <w:szCs w:val="24"/>
        </w:rPr>
        <w:t xml:space="preserve">2.  Confidential Information defined without customary exclusions</w:t>
      </w:r>
    </w:p>
    <w:p>
      <w:r>
        <w:rPr>
          <w:b/>
          <w:bCs/>
        </w:rPr>
        <w:t xml:space="preserve">Severity:  </w:t>
      </w:r>
      <w:r>
        <w:rPr>
          <w:color w:val="CC0000"/>
        </w:rPr>
        <w:t xml:space="preserve">HIGH</w:t>
      </w:r>
      <w:r>
        <w:t xml:space="preserve">   |   </w:t>
      </w:r>
      <w:r>
        <w:rPr>
          <w:b/>
          <w:bCs/>
        </w:rPr>
        <w:t xml:space="preserve">Classification:  </w:t>
      </w:r>
      <w:r>
        <w:rPr>
          <w:color w:val="CC0000"/>
        </w:rPr>
        <w:t xml:space="preserve">UNACCEPTABLE</w:t>
      </w:r>
      <w:r>
        <w:t xml:space="preserve">   |   </w:t>
      </w:r>
      <w:r>
        <w:rPr>
          <w:b/>
          <w:bCs/>
        </w:rPr>
        <w:t xml:space="preserve">Negotiation Position:  </w:t>
      </w:r>
      <w:r>
        <w:t xml:space="preserve">STANDARD</w:t>
      </w:r>
    </w:p>
    <w:p>
      <w:r>
        <w:rPr>
          <w:b/>
          <w:bCs/>
        </w:rPr>
        <w:t xml:space="preserve">Location:  </w:t>
      </w:r>
      <w:r>
        <w:t xml:space="preserve">2 - 2. Confidential Information - 2. Confidential Information</w:t>
      </w:r>
    </w:p>
    <w:p>
      <w:r>
        <w:rPr>
          <w:b/>
          <w:bCs/>
        </w:rPr>
        <w:t xml:space="preserve">Contract Language:  </w:t>
      </w:r>
    </w:p>
    <w:p>
      <w:pPr>
        <w:ind w:left="400"/>
      </w:pPr>
      <w:r>
        <w:rPr>
          <w:i/>
          <w:iCs/>
          <w:color w:val="444444"/>
        </w:rPr>
        <w:t xml:space="preserve">"Confidential Information means all information disclosed by or on behalf of Discloser, before or after this agreement, in any form and whether marked confidential or not. No exceptions apply for information that becomes public, was already known to Recipient or is developed independently."</w:t>
      </w:r>
    </w:p>
    <w:p>
      <w:r>
        <w:rPr>
          <w:b/>
          <w:bCs/>
        </w:rPr>
        <w:t xml:space="preserve">Issue:  </w:t>
      </w:r>
      <w:r>
        <w:t xml:space="preserve">Clause 2 captures all information disclosed in any form, whether marked or not, and expressly states that "No exceptions apply for information that becomes public, was already known to Recipient or is developed independently." Read with the indefinite survival in clause 5 and the uncapped indemnity in clause 7, the Recipient would carry perpetual obligations over public material, information it already held, and information it independently developed. This is particularly acute for an independent market research firm, which may already possess industry data or develop comparable methodology and could be accused of misuse for relying on its own prior or independently created knowledge. The clause also makes no exception for information lawfully received from a third party.</w:t>
      </w:r>
    </w:p>
    <w:p>
      <w:r>
        <w:t xml:space="preserve">Related provisions:</w:t>
      </w:r>
    </w:p>
    <w:p>
      <w:r>
        <w:t xml:space="preserve">5. Duration: Recipient's confidentiality and use obligations continue indefinitely for all Confidential Information, including material that is no longer commercially sensitive.</w:t>
      </w:r>
    </w:p>
    <w:p>
      <w:r>
        <w:t xml:space="preserve">7. Liability and remedies: Recipient must indemnify Discloser against all losses of any kind arising from any disclosure, without a financial limit and regardless of fault.</w:t>
      </w:r>
    </w:p>
    <w:p>
      <w:r>
        <w:rPr>
          <w:b/>
          <w:bCs/>
        </w:rPr>
        <w:t xml:space="preserve">Standard Position:  </w:t>
      </w:r>
      <w:r>
        <w:t xml:space="preserve">A definition of Confidential Information subject to exclusions for public domain, prior lawful possession, independent development and lawful third-party receipt.</w:t>
      </w:r>
    </w:p>
    <w:p>
      <w:r>
        <w:rPr>
          <w:b/>
          <w:bCs/>
        </w:rPr>
        <w:t xml:space="preserve">Why It Matters:  </w:t>
      </w:r>
      <w:r>
        <w:t xml:space="preserve">The second sentence deliberately removes the protections that make an NDA workable, so the Recipient cannot use its own pre-existing know-how or public information and has no contractual defence to a misuse claim. This is an express allocation of risk, not a boilerplate gap, and it feeds directly into the uncapped indemnity.</w:t>
      </w:r>
    </w:p>
    <w:p>
      <w:r>
        <w:rPr>
          <w:b/>
          <w:bCs/>
        </w:rPr>
        <w:t xml:space="preserve">Business Impact:  </w:t>
      </w:r>
      <w:r>
        <w:t xml:space="preserve">Cedar Research could be restricted from using public-domain research or its own methodology, with no contractual defence, exposing it to claims and to the indemnity in clause 7 and limiting how it can operate beyond this project.</w:t>
      </w:r>
    </w:p>
    <w:p>
      <w:r>
        <w:rPr>
          <w:b/>
          <w:bCs/>
          <w:color w:val="CC6600"/>
        </w:rPr>
        <w:t xml:space="preserve">Financial Exposure:  </w:t>
      </w:r>
      <w:r>
        <w:rPr>
          <w:color w:val="CC6600"/>
        </w:rPr>
        <w:t xml:space="preserve">Not directly quantifiable; exposure flows through the uncapped indemnity in clause 7.</w:t>
      </w:r>
    </w:p>
    <w:p>
      <w:r>
        <w:rPr>
          <w:b/>
          <w:bCs/>
        </w:rPr>
        <w:t xml:space="preserve">Requested Change:  </w:t>
      </w:r>
      <w:r>
        <w:t xml:space="preserve">Add the customary exclusions: information that is or becomes public through no fault of the Recipient; information the Recipient lawfully held without restriction before disclosure; information independently developed without use of or reference to the Confidential Information; and information lawfully received from a third party without restriction. Add that the Recipient may demonstrate any of these by its written records.</w:t>
      </w:r>
    </w:p>
    <w:p>
      <w:r>
        <w:rPr>
          <w:b/>
          <w:bCs/>
        </w:rPr>
        <w:t xml:space="preserve">Fallback Position:  </w:t>
      </w:r>
      <w:r>
        <w:t xml:space="preserve">If the Discloser will not accept all four exclusions, prioritise prior possession and independent development, which a research firm most needs, and at minimum remove the express statement that no exceptions apply.</w:t>
      </w:r>
    </w:p>
    <w:p>
      <w:r>
        <w:rPr>
          <w:b/>
          <w:bCs/>
        </w:rPr>
        <w:t xml:space="preserve">Comment to Counterparty:  </w:t>
      </w:r>
      <w:r>
        <w:t xml:space="preserve">The exclusions do not weaken protection of genuinely confidential material; they only prevent the Discloser from claiming confidentiality over what is already public or already the Recipient's. Alder Signal should have little difficulty accepting them.</w:t>
      </w:r>
    </w:p>
    <w:p>
      <w:r>
        <w:rPr>
          <w:b/>
          <w:bCs/>
          <w:color w:val="006600"/>
        </w:rPr>
        <w:t xml:space="preserve">Suggested Edit:  </w:t>
      </w:r>
    </w:p>
    <w:p>
      <w:pPr>
        <w:ind w:left="400"/>
      </w:pPr>
      <w:r>
        <w:rPr>
          <w:i/>
          <w:iCs/>
          <w:color w:val="006600"/>
        </w:rPr>
        <w:t xml:space="preserve">"Confidential Information means information disclosed by or on behalf of Discloser, before or after this agreement, in any form and whether marked confidential or not, but excludes information that: (a) is or becomes generally available to the public other than through breach of this agreement by the Recipient; (b) was lawfully in the Recipient's possession without restriction before disclosure; (c) is independently developed by the Recipient without use of or reference to the Confidential Information; or (d) is lawfully received from a third party without restriction. The Recipient may demonstrate any of the above by its written records."</w:t>
      </w:r>
    </w:p>
    <w:p>
      <w:r>
        <w:rPr>
          <w:color w:val="CCCCCC"/>
        </w:rPr>
        <w:t xml:space="preserve">────────────────────────────────────────</w:t>
      </w:r>
    </w:p>
    <w:p/>
    <w:p>
      <w:r>
        <w:rPr>
          <w:b/>
          <w:bCs/>
          <w:sz w:val="24"/>
          <w:szCs w:val="24"/>
        </w:rPr>
        <w:t xml:space="preserve">3.  Indefinite confidentiality despite a two-year agreement term</w:t>
      </w:r>
    </w:p>
    <w:p>
      <w:r>
        <w:rPr>
          <w:b/>
          <w:bCs/>
        </w:rPr>
        <w:t xml:space="preserve">Severity:  </w:t>
      </w:r>
      <w:r>
        <w:rPr>
          <w:color w:val="CC0000"/>
        </w:rPr>
        <w:t xml:space="preserve">HIGH</w:t>
      </w:r>
      <w:r>
        <w:t xml:space="preserve">   |   </w:t>
      </w:r>
      <w:r>
        <w:rPr>
          <w:b/>
          <w:bCs/>
        </w:rPr>
        <w:t xml:space="preserve">Classification:  </w:t>
      </w:r>
      <w:r>
        <w:rPr>
          <w:color w:val="CC0000"/>
        </w:rPr>
        <w:t xml:space="preserve">UNACCEPTABLE</w:t>
      </w:r>
      <w:r>
        <w:t xml:space="preserve">   |   </w:t>
      </w:r>
      <w:r>
        <w:rPr>
          <w:b/>
          <w:bCs/>
        </w:rPr>
        <w:t xml:space="preserve">Negotiation Position:  </w:t>
      </w:r>
      <w:r>
        <w:t xml:space="preserve">STANDARD</w:t>
      </w:r>
    </w:p>
    <w:p>
      <w:r>
        <w:rPr>
          <w:b/>
          <w:bCs/>
        </w:rPr>
        <w:t xml:space="preserve">Location:  </w:t>
      </w:r>
      <w:r>
        <w:t xml:space="preserve">5 - 5. Duration - 5. Duration</w:t>
      </w:r>
    </w:p>
    <w:p>
      <w:r>
        <w:rPr>
          <w:b/>
          <w:bCs/>
        </w:rPr>
        <w:t xml:space="preserve">Contract Language:  </w:t>
      </w:r>
    </w:p>
    <w:p>
      <w:pPr>
        <w:ind w:left="400"/>
      </w:pPr>
      <w:r>
        <w:rPr>
          <w:i/>
          <w:iCs/>
          <w:color w:val="444444"/>
        </w:rPr>
        <w:t xml:space="preserve">"Recipient's confidentiality and use obligations continue indefinitely for all Confidential Information, including material that is no longer commercially sensitive."</w:t>
      </w:r>
    </w:p>
    <w:p>
      <w:r>
        <w:rPr>
          <w:b/>
          <w:bCs/>
        </w:rPr>
        <w:t xml:space="preserve">Issue:  </w:t>
      </w:r>
      <w:r>
        <w:t xml:space="preserve">Clause 5 provides that the agreement lasts two years but that the Recipient's confidentiality and use obligations continue indefinitely for all Confidential Information, including material that is no longer commercially sensitive. Read with clauses 2 and 7, the Recipient carries a perpetual obligation over anything ever disclosed, even after the information has lost value or become public, and there is no point at which the Recipient can safely assume it is free of the restriction.</w:t>
      </w:r>
    </w:p>
    <w:p>
      <w:r>
        <w:t xml:space="preserve">Related provisions:</w:t>
      </w:r>
    </w:p>
    <w:p>
      <w:r>
        <w:t xml:space="preserve">2. Confidential Information: No exceptions apply for information that becomes public, was already known to Recipient or is developed independently.</w:t>
      </w:r>
    </w:p>
    <w:p>
      <w:r>
        <w:t xml:space="preserve">7. Liability and remedies: Recipient must indemnify Discloser against all losses of any kind arising from any disclosure, without a financial limit and regardless of fault.</w:t>
      </w:r>
    </w:p>
    <w:p>
      <w:r>
        <w:rPr>
          <w:b/>
          <w:bCs/>
        </w:rPr>
        <w:t xml:space="preserve">Standard Position:  </w:t>
      </w:r>
      <w:r>
        <w:t xml:space="preserve">Confidentiality for a fixed term, typically three to five years, with a longer finite term only for identified trade secrets while they remain trade secrets.</w:t>
      </w:r>
    </w:p>
    <w:p>
      <w:r>
        <w:rPr>
          <w:b/>
          <w:bCs/>
        </w:rPr>
        <w:t xml:space="preserve">Why It Matters:  </w:t>
      </w:r>
      <w:r>
        <w:t xml:space="preserve">Perpetual obligations over all information, including information that is no longer commercially sensitive, are disproportionate and create an open-ended compliance burden. The absence of any end date, rather than the length of a reasonable term, is the core problem.</w:t>
      </w:r>
    </w:p>
    <w:p>
      <w:r>
        <w:rPr>
          <w:b/>
          <w:bCs/>
        </w:rPr>
        <w:t xml:space="preserve">Business Impact:  </w:t>
      </w:r>
      <w:r>
        <w:t xml:space="preserve">Cedar Research would have to maintain records and confidentiality controls indefinitely for material that may be worthless, creating ongoing compliance cost and conflicting with a normal data-retention policy.</w:t>
      </w:r>
    </w:p>
    <w:p>
      <w:r>
        <w:rPr>
          <w:b/>
          <w:bCs/>
          <w:color w:val="CC6600"/>
        </w:rPr>
        <w:t xml:space="preserve">Financial Exposure:  </w:t>
      </w:r>
      <w:r>
        <w:rPr>
          <w:color w:val="CC6600"/>
        </w:rPr>
        <w:t xml:space="preserve">Not directly quantifiable; linked to the uncapped indemnity in clause 7 for as long as the obligation lasts.</w:t>
      </w:r>
    </w:p>
    <w:p>
      <w:r>
        <w:rPr>
          <w:b/>
          <w:bCs/>
        </w:rPr>
        <w:t xml:space="preserve">Requested Change:  </w:t>
      </w:r>
      <w:r>
        <w:t xml:space="preserve">Limit confidentiality to a defined period after disclosure or termination (for example three to five years from disclosure), with a longer but finite period (for example seven years) for trade secrets that remain trade secrets, and align the wording with the new exclusions in clause 2.</w:t>
      </w:r>
    </w:p>
    <w:p>
      <w:r>
        <w:rPr>
          <w:b/>
          <w:bCs/>
        </w:rPr>
        <w:t xml:space="preserve">Fallback Position:  </w:t>
      </w:r>
      <w:r>
        <w:t xml:space="preserve">If the Discloser wants longer protection, accept a five-year general term with a seven-year term for information expressly marked as a trade secret at disclosure, retaining the public-domain and independent-development exclusions.</w:t>
      </w:r>
    </w:p>
    <w:p>
      <w:r>
        <w:rPr>
          <w:b/>
          <w:bCs/>
        </w:rPr>
        <w:t xml:space="preserve">Comment to Counterparty:  </w:t>
      </w:r>
      <w:r>
        <w:t xml:space="preserve">The real concern is the absence of any end date, not the length of a reasonable term. A seven-year outer limit for genuine trade secrets should be acceptable and keeps the arrangement manageable for the Recipient.</w:t>
      </w:r>
    </w:p>
    <w:p>
      <w:r>
        <w:rPr>
          <w:b/>
          <w:bCs/>
          <w:color w:val="006600"/>
        </w:rPr>
        <w:t xml:space="preserve">Suggested Edit:  </w:t>
      </w:r>
    </w:p>
    <w:p>
      <w:pPr>
        <w:ind w:left="400"/>
      </w:pPr>
      <w:r>
        <w:rPr>
          <w:i/>
          <w:iCs/>
          <w:color w:val="006600"/>
        </w:rPr>
        <w:t xml:space="preserve">"The Recipient's confidentiality and use obligations continue for three years from disclosure, and for seven years from disclosure for information that the Discloser identifies in writing at the time of disclosure as a trade secret and which remains a trade secret. Information that falls within an exclusion in clause 2 is no longer subject to these obligations when the exclusion applies."</w:t>
      </w:r>
    </w:p>
    <w:p>
      <w:r>
        <w:rPr>
          <w:color w:val="CCCCCC"/>
        </w:rPr>
        <w:t xml:space="preserve">────────────────────────────────────────</w:t>
      </w:r>
    </w:p>
    <w:p/>
    <w:p>
      <w:r>
        <w:rPr>
          <w:b/>
          <w:bCs/>
          <w:sz w:val="24"/>
          <w:szCs w:val="24"/>
        </w:rPr>
        <w:t xml:space="preserve">4.  Two-business-day deletion including backups and legally required records</w:t>
      </w:r>
    </w:p>
    <w:p>
      <w:r>
        <w:rPr>
          <w:b/>
          <w:bCs/>
        </w:rPr>
        <w:t xml:space="preserve">Severity:  </w:t>
      </w:r>
      <w:r>
        <w:rPr>
          <w:color w:val="CC0000"/>
        </w:rPr>
        <w:t xml:space="preserve">HIGH</w:t>
      </w:r>
      <w:r>
        <w:t xml:space="preserve">   |   </w:t>
      </w:r>
      <w:r>
        <w:rPr>
          <w:b/>
          <w:bCs/>
        </w:rPr>
        <w:t xml:space="preserve">Classification:  </w:t>
      </w:r>
      <w:r>
        <w:rPr>
          <w:color w:val="CC0000"/>
        </w:rPr>
        <w:t xml:space="preserve">UNACCEPTABLE</w:t>
      </w:r>
      <w:r>
        <w:t xml:space="preserve">   |   </w:t>
      </w:r>
      <w:r>
        <w:rPr>
          <w:b/>
          <w:bCs/>
        </w:rPr>
        <w:t xml:space="preserve">Negotiation Position:  </w:t>
      </w:r>
      <w:r>
        <w:t xml:space="preserve">STANDARD</w:t>
      </w:r>
    </w:p>
    <w:p>
      <w:r>
        <w:rPr>
          <w:b/>
          <w:bCs/>
        </w:rPr>
        <w:t xml:space="preserve">Location:  </w:t>
      </w:r>
      <w:r>
        <w:t xml:space="preserve">6 - 6. Return and deletion - 6. Return and deletion</w:t>
      </w:r>
    </w:p>
    <w:p>
      <w:r>
        <w:rPr>
          <w:b/>
          <w:bCs/>
        </w:rPr>
        <w:t xml:space="preserve">Contract Language:  </w:t>
      </w:r>
    </w:p>
    <w:p>
      <w:pPr>
        <w:ind w:left="400"/>
      </w:pPr>
      <w:r>
        <w:rPr>
          <w:i/>
          <w:iCs/>
          <w:color w:val="444444"/>
        </w:rPr>
        <w:t xml:space="preserve">"Within two business days of a request, Recipient must permanently delete all Confidential Information, including every backup, archive and record required by law, and certify that no copy remains."</w:t>
      </w:r>
    </w:p>
    <w:p>
      <w:r>
        <w:rPr>
          <w:b/>
          <w:bCs/>
        </w:rPr>
        <w:t xml:space="preserve">Issue:  </w:t>
      </w:r>
      <w:r>
        <w:t xml:space="preserve">Clause 6 requires the Recipient, within two business days of a request, to permanently delete all Confidential Information including every backup, archive and record required by law, and to certify that no copy remains. This is operationally impossible for standard backup systems and would require deletion of records the Recipient may be legally obliged to retain. The absolute certification compounds the problem because the Recipient could not honestly certify that no copy remains while backups persist. The clause is also one-sided and contains no retention right for the Recipient's own compliance purposes.</w:t>
      </w:r>
    </w:p>
    <w:p>
      <w:r>
        <w:t xml:space="preserve">Related provisions:</w:t>
      </w:r>
    </w:p>
    <w:p>
      <w:r>
        <w:t xml:space="preserve">2. Confidential Information: Confidential Information means all information disclosed by or on behalf of Discloser, before or after this agreement, in any form and whether marked confidential or not.</w:t>
      </w:r>
    </w:p>
    <w:p>
      <w:r>
        <w:rPr>
          <w:b/>
          <w:bCs/>
        </w:rPr>
        <w:t xml:space="preserve">Standard Position:  </w:t>
      </w:r>
      <w:r>
        <w:t xml:space="preserve">Return or deletion of Confidential Information within a reasonable period, with retained copies limited to legal and regulatory requirements and backups, all subject to continuing confidentiality.</w:t>
      </w:r>
    </w:p>
    <w:p>
      <w:r>
        <w:rPr>
          <w:b/>
          <w:bCs/>
        </w:rPr>
        <w:t xml:space="preserve">Why It Matters:  </w:t>
      </w:r>
      <w:r>
        <w:t xml:space="preserve">The clause forces the Recipient to choose between breaching the contract and breaching legal or regulatory retention duties, and the two-business-day deadline is unrealistic for backup and archive systems. Retaining regulatory copies while keeping them confidential preserves the Discloser's protection without creating an unavoidable breach.</w:t>
      </w:r>
    </w:p>
    <w:p>
      <w:r>
        <w:rPr>
          <w:b/>
          <w:bCs/>
        </w:rPr>
        <w:t xml:space="preserve">Business Impact:  </w:t>
      </w:r>
      <w:r>
        <w:t xml:space="preserve">Cedar Research would face unavoidable breach and false-certification risk, and would have to delete records it may be required to keep. The retention exception also keeps the information covered while it is held.</w:t>
      </w:r>
    </w:p>
    <w:p>
      <w:r>
        <w:rPr>
          <w:b/>
          <w:bCs/>
          <w:color w:val="CC6600"/>
        </w:rPr>
        <w:t xml:space="preserve">Financial Exposure:  </w:t>
      </w:r>
      <w:r>
        <w:rPr>
          <w:color w:val="CC6600"/>
        </w:rPr>
        <w:t xml:space="preserve">Not directly quantifiable; breach of this clause would feed into the liability and indemnity position in clause 7.</w:t>
      </w:r>
    </w:p>
    <w:p>
      <w:r>
        <w:rPr>
          <w:b/>
          <w:bCs/>
        </w:rPr>
        <w:t xml:space="preserve">Requested Change:  </w:t>
      </w:r>
      <w:r>
        <w:t xml:space="preserve">Extend the deletion period to a workable timeframe (for example 30 days), require deletion of Confidential Information in the Recipient's possession or control rather than of records that must be retained by law, permit retention of backups until overwritten in the ordinary course and of records required by law or professional regulation (all subject to continuing confidentiality), and replace the absolute certificate with a certificate that no copy remains in active systems other than retained copies identified in the certificate.</w:t>
      </w:r>
    </w:p>
    <w:p>
      <w:r>
        <w:rPr>
          <w:b/>
          <w:bCs/>
        </w:rPr>
        <w:t xml:space="preserve">Fallback Position:  </w:t>
      </w:r>
      <w:r>
        <w:t xml:space="preserve">If the Discloser insists on a short period, accept 15 days for active systems while agreeing a longer period for backup overwrite and a carve-out for legally required records.</w:t>
      </w:r>
    </w:p>
    <w:p>
      <w:r>
        <w:rPr>
          <w:b/>
          <w:bCs/>
        </w:rPr>
        <w:t xml:space="preserve">Comment to Counterparty:  </w:t>
      </w:r>
      <w:r>
        <w:t xml:space="preserve">The Discloser's aim is to stop continued use, not to force destruction of legally required records or an active backup. A documented retention exception with continuing confidentiality achieves the same protection.</w:t>
      </w:r>
    </w:p>
    <w:p>
      <w:r>
        <w:rPr>
          <w:b/>
          <w:bCs/>
          <w:color w:val="006600"/>
        </w:rPr>
        <w:t xml:space="preserve">Suggested Edit:  </w:t>
      </w:r>
    </w:p>
    <w:p>
      <w:pPr>
        <w:ind w:left="400"/>
      </w:pPr>
      <w:r>
        <w:rPr>
          <w:i/>
          <w:iCs/>
          <w:color w:val="006600"/>
        </w:rPr>
        <w:t xml:space="preserve">"Within 30 days of a written request, the Recipient shall return or permanently delete all Confidential Information in its possession or control and certify that it has done so, except that the Recipient may retain copies to the extent required by law, regulation, professional standards or a documented litigation hold, and may retain copies contained in automatic backup systems until overwritten in the ordinary course. Confidential Information so retained remains subject to this agreement."</w:t>
      </w:r>
    </w:p>
    <w:p>
      <w:r>
        <w:rPr>
          <w:color w:val="CCCCCC"/>
        </w:rPr>
        <w:t xml:space="preserve">────────────────────────────────────────</w:t>
      </w:r>
    </w:p>
    <w:p/>
    <w:p>
      <w:r>
        <w:rPr>
          <w:b/>
          <w:bCs/>
          <w:sz w:val="24"/>
          <w:szCs w:val="24"/>
        </w:rPr>
        <w:t xml:space="preserve">5.  Prior written consent required for professional advisers, contractors and cloud providers</w:t>
      </w:r>
    </w:p>
    <w:p>
      <w:r>
        <w:rPr>
          <w:b/>
          <w:bCs/>
        </w:rPr>
        <w:t xml:space="preserve">Severity:  </w:t>
      </w:r>
      <w:r>
        <w:rPr>
          <w:color w:val="CC6600"/>
        </w:rPr>
        <w:t xml:space="preserve">MEDIUM</w:t>
      </w:r>
      <w:r>
        <w:t xml:space="preserve">   |   </w:t>
      </w:r>
      <w:r>
        <w:rPr>
          <w:b/>
          <w:bCs/>
        </w:rPr>
        <w:t xml:space="preserve">Classification:  </w:t>
      </w:r>
      <w:r>
        <w:rPr>
          <w:color w:val="CC6600"/>
        </w:rPr>
        <w:t xml:space="preserve">NEEDS REVIEW</w:t>
      </w:r>
      <w:r>
        <w:t xml:space="preserve">   |   </w:t>
      </w:r>
      <w:r>
        <w:rPr>
          <w:b/>
          <w:bCs/>
        </w:rPr>
        <w:t xml:space="preserve">Negotiation Position:  </w:t>
      </w:r>
      <w:r>
        <w:t xml:space="preserve">STANDARD</w:t>
      </w:r>
    </w:p>
    <w:p>
      <w:r>
        <w:rPr>
          <w:b/>
          <w:bCs/>
        </w:rPr>
        <w:t xml:space="preserve">Location:  </w:t>
      </w:r>
      <w:r>
        <w:t xml:space="preserve">3 - 3. Permitted recipients - 3. Permitted recipients</w:t>
      </w:r>
    </w:p>
    <w:p>
      <w:r>
        <w:rPr>
          <w:b/>
          <w:bCs/>
        </w:rPr>
        <w:t xml:space="preserve">Contract Language:  </w:t>
      </w:r>
    </w:p>
    <w:p>
      <w:pPr>
        <w:ind w:left="400"/>
      </w:pPr>
      <w:r>
        <w:rPr>
          <w:i/>
          <w:iCs/>
          <w:color w:val="444444"/>
        </w:rPr>
        <w:t xml:space="preserve">"Disclosure to professional advisers, contractors or cloud service providers requires Discloser's prior written consent in each case."</w:t>
      </w:r>
    </w:p>
    <w:p>
      <w:r>
        <w:rPr>
          <w:b/>
          <w:bCs/>
        </w:rPr>
        <w:t xml:space="preserve">Issue:  </w:t>
      </w:r>
      <w:r>
        <w:t xml:space="preserve">Clause 3 allows disclosure to employees on a need-to-know basis but requires the Discloser's prior written consent "in each case" for any disclosure to professional advisers, contractors or cloud service providers. This conflicts with the way research firms operate, using external advisers, sub-contractors and cloud storage, and interacts with clause 7 because a disclosure made without consent would be a breach and, on the current wording, could trigger unlimited fault-neutral liability. The consent requirement is not tied to any sensitivity assessment and so constrains routine administrative handling.</w:t>
      </w:r>
    </w:p>
    <w:p>
      <w:r>
        <w:t xml:space="preserve">Related provisions:</w:t>
      </w:r>
    </w:p>
    <w:p>
      <w:r>
        <w:t xml:space="preserve">7. Liability and remedies: Recipient must indemnify Discloser against all losses of any kind arising from any disclosure, without a financial limit and regardless of fault.</w:t>
      </w:r>
    </w:p>
    <w:p>
      <w:r>
        <w:rPr>
          <w:b/>
          <w:bCs/>
        </w:rPr>
        <w:t xml:space="preserve">Standard Position:  </w:t>
      </w:r>
      <w:r>
        <w:t xml:space="preserve">Disclosure permitted to employees, professional advisers and contractors under equivalent confidentiality obligations, with the Recipient liable for those recipients.</w:t>
      </w:r>
    </w:p>
    <w:p>
      <w:r>
        <w:rPr>
          <w:b/>
          <w:bCs/>
        </w:rPr>
        <w:t xml:space="preserve">Why It Matters:  </w:t>
      </w:r>
      <w:r>
        <w:t xml:space="preserve">A per-instance written-consent requirement creates an operational bottleneck and a continual breach risk on every engagement, especially where cloud providers change over time, without any link to the sensitivity of the information.</w:t>
      </w:r>
    </w:p>
    <w:p>
      <w:r>
        <w:rPr>
          <w:b/>
          <w:bCs/>
        </w:rPr>
        <w:t xml:space="preserve">Business Impact:  </w:t>
      </w:r>
      <w:r>
        <w:t xml:space="preserve">Cedar Research could be delayed in delivering the evaluation while waiting for consent, and could inadvertently breach the agreement simply by using its ordinary IT and advisory arrangements.</w:t>
      </w:r>
    </w:p>
    <w:p>
      <w:r>
        <w:rPr>
          <w:b/>
          <w:bCs/>
          <w:color w:val="CC6600"/>
        </w:rPr>
        <w:t xml:space="preserve">Financial Exposure:  </w:t>
      </w:r>
      <w:r>
        <w:rPr>
          <w:color w:val="CC6600"/>
        </w:rPr>
        <w:t xml:space="preserve">Indirectly, through the uncapped indemnity in clause 7 if a consent is missed.</w:t>
      </w:r>
    </w:p>
    <w:p>
      <w:r>
        <w:rPr>
          <w:b/>
          <w:bCs/>
        </w:rPr>
        <w:t xml:space="preserve">Requested Change:  </w:t>
      </w:r>
      <w:r>
        <w:t xml:space="preserve">Permit disclosure to professional advisers and to contractors, sub-contractors and cloud providers on a need-to-know basis where they are bound by confidentiality obligations no less protective than this agreement, with the Recipient remaining responsible for their compliance. If the Discloser insists on control, replace per-instance consent with a notice-and-objection mechanism for named categories of recipients.</w:t>
      </w:r>
    </w:p>
    <w:p>
      <w:r>
        <w:rPr>
          <w:b/>
          <w:bCs/>
        </w:rPr>
        <w:t xml:space="preserve">Fallback Position:  </w:t>
      </w:r>
      <w:r>
        <w:t xml:space="preserve">Keep prior written notice for named categories of service providers, with consent deemed given if the Discloser does not object within five business days.</w:t>
      </w:r>
    </w:p>
    <w:p>
      <w:r>
        <w:rPr>
          <w:b/>
          <w:bCs/>
        </w:rPr>
        <w:t xml:space="preserve">Comment to Counterparty:  </w:t>
      </w:r>
      <w:r>
        <w:t xml:space="preserve">The protection Alder Signal needs is flow-down confidentiality, not control over every vendor engagement. A notice-and-objection mechanism gives it that without freezing the Recipient's operations.</w:t>
      </w:r>
    </w:p>
    <w:p>
      <w:r>
        <w:rPr>
          <w:b/>
          <w:bCs/>
          <w:color w:val="006600"/>
        </w:rPr>
        <w:t xml:space="preserve">Suggested Edit:  </w:t>
      </w:r>
    </w:p>
    <w:p>
      <w:pPr>
        <w:ind w:left="400"/>
      </w:pPr>
      <w:r>
        <w:rPr>
          <w:i/>
          <w:iCs/>
          <w:color w:val="006600"/>
        </w:rPr>
        <w:t xml:space="preserve">"Disclosure to professional advisers, contractors, sub-contractors or cloud service providers is permitted where those recipients need to know the Confidential Information for the Purpose and are bound by confidentiality obligations no less protective than this agreement. The Recipient remains responsible for those recipients' compliance and shall, on the Discloser's written request, notify the Discloser of the categories of recipient to which Confidential Information has been disclosed."</w:t>
      </w:r>
    </w:p>
    <w:p>
      <w:r>
        <w:rPr>
          <w:color w:val="CCCCCC"/>
        </w:rPr>
        <w:t xml:space="preserve">────────────────────────────────────────</w:t>
      </w:r>
    </w:p>
    <w:p/>
    <w:p>
      <w:r>
        <w:rPr>
          <w:b/>
          <w:bCs/>
          <w:sz w:val="24"/>
          <w:szCs w:val="24"/>
        </w:rPr>
        <w:t xml:space="preserve">6.  Fictional demonstration draft with unidentified parties and signatories</w:t>
      </w:r>
    </w:p>
    <w:p>
      <w:r>
        <w:rPr>
          <w:b/>
          <w:bCs/>
        </w:rPr>
        <w:t xml:space="preserve">Severity:  </w:t>
      </w:r>
      <w:r>
        <w:rPr>
          <w:color w:val="CC6600"/>
        </w:rPr>
        <w:t xml:space="preserve">MEDIUM</w:t>
      </w:r>
      <w:r>
        <w:t xml:space="preserve">   |   </w:t>
      </w:r>
      <w:r>
        <w:rPr>
          <w:b/>
          <w:bCs/>
        </w:rPr>
        <w:t xml:space="preserve">Classification:  </w:t>
      </w:r>
      <w:r>
        <w:rPr>
          <w:color w:val="CC6600"/>
        </w:rPr>
        <w:t xml:space="preserve">NEEDS REVIEW</w:t>
      </w:r>
      <w:r>
        <w:t xml:space="preserve">   |   </w:t>
      </w:r>
      <w:r>
        <w:rPr>
          <w:b/>
          <w:bCs/>
        </w:rPr>
        <w:t xml:space="preserve">Negotiation Position:  </w:t>
      </w:r>
      <w:r>
        <w:t xml:space="preserve">STANDARD</w:t>
      </w:r>
    </w:p>
    <w:p>
      <w:r>
        <w:rPr>
          <w:b/>
          <w:bCs/>
        </w:rPr>
        <w:t xml:space="preserve">Location:  </w:t>
      </w:r>
      <w:r>
        <w:t xml:space="preserve">Cover page</w:t>
      </w:r>
    </w:p>
    <w:p>
      <w:r>
        <w:rPr>
          <w:b/>
          <w:bCs/>
        </w:rPr>
        <w:t xml:space="preserve">Contract Language:  </w:t>
      </w:r>
    </w:p>
    <w:p>
      <w:pPr>
        <w:ind w:left="400"/>
      </w:pPr>
      <w:r>
        <w:rPr>
          <w:i/>
          <w:iCs/>
          <w:color w:val="444444"/>
        </w:rPr>
        <w:t xml:space="preserve">"All organisations and transaction details in this document are fictional."</w:t>
      </w:r>
    </w:p>
    <w:p>
      <w:r>
        <w:rPr>
          <w:b/>
          <w:bCs/>
        </w:rPr>
        <w:t xml:space="preserve">Issue:  </w:t>
      </w:r>
      <w:r>
        <w:t xml:space="preserve">The document is headed "NON-DISCLOSURE AGREEMENT — FICTIONAL DEMONSTRATION" and states that all organisations and transaction details are fictional. It names Alder Signal Ltd. as Discloser and Cedar Research Ltd. as Recipient but does not identify individuals, contact addresses or signatories, and clause 9 states that there are no attachments. Before use as a binding agreement, the parties' correct legal names, registered numbers, notice contacts and the proposed market research project must be confirmed and the demonstration language removed.</w:t>
      </w:r>
    </w:p>
    <w:p>
      <w:r>
        <w:t xml:space="preserve">Related provisions:</w:t>
      </w:r>
    </w:p>
    <w:p>
      <w:r>
        <w:t xml:space="preserve">1. Purpose: The parties are evaluating whether to commission a market research project. Recipient may use Confidential Information only to evaluate that proposed project. Neither party is required to enter another agreement.</w:t>
      </w:r>
    </w:p>
    <w:p>
      <w:r>
        <w:rPr>
          <w:b/>
          <w:bCs/>
        </w:rPr>
        <w:t xml:space="preserve">Standard Position:  </w:t>
      </w:r>
      <w:r>
        <w:t xml:space="preserve">Executable agreement with the parties' correct legal details and a specific defined Purpose.</w:t>
      </w:r>
    </w:p>
    <w:p>
      <w:r>
        <w:rPr>
          <w:b/>
          <w:bCs/>
        </w:rPr>
        <w:t xml:space="preserve">Why It Matters:  </w:t>
      </w:r>
      <w:r>
        <w:t xml:space="preserve">A demonstrative draft with fictional details cannot be relied on as a binding agreement, and the illustrative identities and purpose may not match the transaction the parties actually intend to document.</w:t>
      </w:r>
    </w:p>
    <w:p>
      <w:r>
        <w:rPr>
          <w:b/>
          <w:bCs/>
        </w:rPr>
        <w:t xml:space="preserve">Business Impact:  </w:t>
      </w:r>
      <w:r>
        <w:t xml:space="preserve">Signing without correcting identities and purpose could make the agreement enforceable against the wrong entity or leave the Purpose too vague to support the confidentiality regime.</w:t>
      </w:r>
    </w:p>
    <w:p>
      <w:r>
        <w:rPr>
          <w:b/>
          <w:bCs/>
        </w:rPr>
        <w:t xml:space="preserve">Requested Change:  </w:t>
      </w:r>
      <w:r>
        <w:t xml:space="preserve">Remove the fictional-demonstration wording, insert the correct legal names and company numbers of the parties, identify the contact address for notices under clause 8, and confirm that the transaction description in clause 1 matches the intended evaluation before execution.</w:t>
      </w:r>
    </w:p>
    <w:p>
      <w:r>
        <w:rPr>
          <w:b/>
          <w:bCs/>
        </w:rPr>
        <w:t xml:space="preserve">Comment to Counterparty:  </w:t>
      </w:r>
      <w:r>
        <w:t xml:space="preserve">This is an administrative point but it should be resolved before signature rather than left to interpretation later.</w:t>
      </w:r>
    </w:p>
    <w:p>
      <w:r>
        <w:rPr>
          <w:color w:val="CCCCCC"/>
        </w:rPr>
        <w:t xml:space="preserve">────────────────────────────────────────</w:t>
      </w:r>
    </w:p>
    <w:p/>
    <w:p>
      <w:r>
        <w:rPr>
          <w:b/>
          <w:bCs/>
          <w:sz w:val="24"/>
          <w:szCs w:val="24"/>
        </w:rPr>
        <w:t xml:space="preserve">7.  Notices take effect only when acknowledged</w:t>
      </w:r>
    </w:p>
    <w:p>
      <w:r>
        <w:rPr>
          <w:b/>
          <w:bCs/>
        </w:rPr>
        <w:t xml:space="preserve">Severity:  </w:t>
      </w:r>
      <w:r>
        <w:rPr>
          <w:color w:val="006600"/>
        </w:rPr>
        <w:t xml:space="preserve">LOW</w:t>
      </w:r>
      <w:r>
        <w:t xml:space="preserve">   |   </w:t>
      </w:r>
      <w:r>
        <w:rPr>
          <w:b/>
          <w:bCs/>
        </w:rPr>
        <w:t xml:space="preserve">Classification:  </w:t>
      </w:r>
      <w:r>
        <w:rPr>
          <w:color w:val="CC6600"/>
        </w:rPr>
        <w:t xml:space="preserve">NEEDS REVIEW</w:t>
      </w:r>
      <w:r>
        <w:t xml:space="preserve">   |   </w:t>
      </w:r>
      <w:r>
        <w:rPr>
          <w:b/>
          <w:bCs/>
        </w:rPr>
        <w:t xml:space="preserve">Negotiation Position:  </w:t>
      </w:r>
      <w:r>
        <w:t xml:space="preserve">STANDARD</w:t>
      </w:r>
    </w:p>
    <w:p>
      <w:r>
        <w:rPr>
          <w:b/>
          <w:bCs/>
        </w:rPr>
        <w:t xml:space="preserve">Location:  </w:t>
      </w:r>
      <w:r>
        <w:t xml:space="preserve">8 - 8. Notices - 8. Notices</w:t>
      </w:r>
    </w:p>
    <w:p>
      <w:r>
        <w:rPr>
          <w:b/>
          <w:bCs/>
        </w:rPr>
        <w:t xml:space="preserve">Contract Language:  </w:t>
      </w:r>
    </w:p>
    <w:p>
      <w:pPr>
        <w:ind w:left="400"/>
      </w:pPr>
      <w:r>
        <w:rPr>
          <w:i/>
          <w:iCs/>
          <w:color w:val="444444"/>
        </w:rPr>
        <w:t xml:space="preserve">"A notice takes effect when acknowledged by the recipient, excluding automated acknowledgements."</w:t>
      </w:r>
    </w:p>
    <w:p>
      <w:r>
        <w:rPr>
          <w:b/>
          <w:bCs/>
        </w:rPr>
        <w:t xml:space="preserve">Issue:  </w:t>
      </w:r>
      <w:r>
        <w:t xml:space="preserve">Clause 8 provides that a notice takes effect only when acknowledged by the recipient, excluding automated acknowledgements, and that if no acknowledgement is received within two business days the sender must arrange delivery by hand. No deemed-receipt rule exists. Read with clause 6, a time-critical deletion request could fail to take effect if the Recipient's contact does not acknowledge it, and a party could rely on non-acknowledgement to defeat notice in a dispute. The two-business-day hand-delivery fallback is slow and impractical for routine requests.</w:t>
      </w:r>
    </w:p>
    <w:p>
      <w:r>
        <w:t xml:space="preserve">Related provisions:</w:t>
      </w:r>
    </w:p>
    <w:p>
      <w:r>
        <w:t xml:space="preserve">6. Return and deletion: Within two business days of a request, Recipient must permanently delete all Confidential Information, including every backup, archive and record required by law, and certify that no copy remains.</w:t>
      </w:r>
    </w:p>
    <w:p>
      <w:r>
        <w:rPr>
          <w:b/>
          <w:bCs/>
        </w:rPr>
        <w:t xml:space="preserve">Standard Position:  </w:t>
      </w:r>
      <w:r>
        <w:t xml:space="preserve">Deemed receipt one business day after email sent on a business day, absent a delivery-failure notification.</w:t>
      </w:r>
    </w:p>
    <w:p>
      <w:r>
        <w:rPr>
          <w:b/>
          <w:bCs/>
        </w:rPr>
        <w:t xml:space="preserve">Why It Matters:  </w:t>
      </w:r>
      <w:r>
        <w:t xml:space="preserve">Making effectiveness depend on the recipient's acknowledgement transfers control of notice timing to the recipient, which is inappropriate where notice may trigger a compliance deadline, and the hand-delivery workaround is slow for routine requests.</w:t>
      </w:r>
    </w:p>
    <w:p>
      <w:r>
        <w:rPr>
          <w:b/>
          <w:bCs/>
        </w:rPr>
        <w:t xml:space="preserve">Business Impact:  </w:t>
      </w:r>
      <w:r>
        <w:t xml:space="preserve">Cedar Research could be accused of acting before notice took effect, or could itself be unable to make time-critical notices effective, adding avoidable procedural uncertainty.</w:t>
      </w:r>
    </w:p>
    <w:p>
      <w:r>
        <w:rPr>
          <w:b/>
          <w:bCs/>
        </w:rPr>
        <w:t xml:space="preserve">Requested Change:  </w:t>
      </w:r>
      <w:r>
        <w:t xml:space="preserve">Replace the acknowledgement-only rule with a deemed-receipt provision: an email notice is deemed received one business day after sending if sent on a business day before a stated cut-off time and no delivery-failure notification is received, and otherwise on the next business day. Retain the right to update contact details in writing.</w:t>
      </w:r>
    </w:p>
    <w:p>
      <w:r>
        <w:rPr>
          <w:b/>
          <w:bCs/>
        </w:rPr>
        <w:t xml:space="preserve">Fallback Position:  </w:t>
      </w:r>
      <w:r>
        <w:t xml:space="preserve">Two business days after sending if a one-business-day rule is resisted, with a defined contact address that either party may update in writing.</w:t>
      </w:r>
    </w:p>
    <w:p>
      <w:r>
        <w:rPr>
          <w:b/>
          <w:bCs/>
        </w:rPr>
        <w:t xml:space="preserve">Comment to Counterparty:  </w:t>
      </w:r>
      <w:r>
        <w:t xml:space="preserve">The Discloser's concern is being able to prove notice. A deemed-receipt rule with a delivery-failure exception is easier to administer than an acknowledgement condition and reduces disputes about timing.</w:t>
      </w:r>
    </w:p>
    <w:p>
      <w:r>
        <w:rPr>
          <w:b/>
          <w:bCs/>
          <w:color w:val="006600"/>
        </w:rPr>
        <w:t xml:space="preserve">Suggested Edit:  </w:t>
      </w:r>
    </w:p>
    <w:p>
      <w:pPr>
        <w:ind w:left="400"/>
      </w:pPr>
      <w:r>
        <w:rPr>
          <w:i/>
          <w:iCs/>
          <w:color w:val="006600"/>
        </w:rPr>
        <w:t xml:space="preserve">"A notice sent by email to the recipient's designated contact address is deemed received one business day after sending if sent on a business day before 5.00 pm London time, or otherwise on the next business day, provided the sender has not received an automated delivery-failure notification."</w:t>
      </w:r>
    </w:p>
    <w:p>
      <w:r>
        <w:rPr>
          <w:color w:val="CCCCCC"/>
        </w:rPr>
        <w:t xml:space="preserve">────────────────────────────────────────</w:t>
      </w:r>
    </w:p>
    <w:p/>
    <w:p>
      <w:pPr>
        <w:pStyle w:val="Heading1"/>
      </w:pPr>
      <w:r>
        <w:t xml:space="preserve">7.  MISSING PROTECTIONS</w:t>
      </w:r>
    </w:p>
    <w:p>
      <w:r>
        <w:rPr>
          <w:b/>
          <w:bCs/>
        </w:rPr>
        <w:t xml:space="preserve">Reciprocal confidentiality obligation on the Discloser  </w:t>
      </w:r>
      <w:r>
        <w:rPr>
          <w:b/>
          <w:bCs/>
          <w:color w:val="CC6600"/>
        </w:rPr>
        <w:t xml:space="preserve">[MEDIUM]</w:t>
      </w:r>
    </w:p>
    <w:p>
      <w:r>
        <w:t xml:space="preserve">Although the document is styled as a Non-Disclosure Agreement between two companies, the operative obligations in clauses 2 to 7 bind only the Recipient. The text names Alder Signal Ltd. as Discloser and Cedar Research Ltd. as Recipient and contains no provision protecting information that Cedar Research may disclose during the evaluation. If the arrangement is genuinely one-way no reciprocal clause is needed; the parties should confirm which it is.</w:t>
      </w:r>
    </w:p>
    <w:p>
      <w:r>
        <w:rPr>
          <w:b/>
          <w:bCs/>
          <w:color w:val="006600"/>
        </w:rPr>
        <w:t xml:space="preserve">Suggested Add-In:  </w:t>
      </w:r>
      <w:r>
        <w:rPr>
          <w:color w:val="006600"/>
        </w:rPr>
        <w:t xml:space="preserve">If Cedar Research will disclose its own information, add a clause making the confidentiality and use obligations in clauses 2 to 7 apply reciprocally to information disclosed by either party, with the Discloser defined to include either party as the context requires.</w:t>
      </w:r>
    </w:p>
    <w:p>
      <w:r>
        <w:rPr>
          <w:b/>
          <w:bCs/>
        </w:rPr>
        <w:t xml:space="preserve">Data protection and personal data handling  </w:t>
      </w:r>
      <w:r>
        <w:rPr>
          <w:b/>
          <w:bCs/>
          <w:color w:val="006600"/>
        </w:rPr>
        <w:t xml:space="preserve">[LOW]</w:t>
      </w:r>
    </w:p>
    <w:p>
      <w:r>
        <w:t xml:space="preserve">The agreement does not address personal data that may be contained in the Confidential Information or exchanged during the evaluation. If personal data will be processed, a short data-protection clause allocating roles and compliance responsibilities under English law would be appropriate; if no personal data will be exchanged, this is not needed.</w:t>
      </w:r>
    </w:p>
    <w:p>
      <w:r>
        <w:rPr>
          <w:b/>
          <w:bCs/>
        </w:rPr>
        <w:t xml:space="preserve">Assignment and third-party rights  </w:t>
      </w:r>
      <w:r>
        <w:rPr>
          <w:b/>
          <w:bCs/>
          <w:color w:val="006600"/>
        </w:rPr>
        <w:t xml:space="preserve">[LOW]</w:t>
      </w:r>
    </w:p>
    <w:p>
      <w:r>
        <w:t xml:space="preserve">The document contains no clause addressing assignment, third-party rights or whether the agreement binds successors. Given the short duration and narrow purpose of the arrangement, their absence is a lower priority than the liability, definition, duration and deletion issues identified above.</w:t>
      </w:r>
    </w:p>
    <w:p/>
    <w:p>
      <w:pPr>
        <w:pStyle w:val="Heading1"/>
      </w:pPr>
      <w:r>
        <w:t xml:space="preserve">8.  PRIORITY ACTIONS</w:t>
      </w:r>
    </w:p>
    <w:p>
      <w:r>
        <w:rPr>
          <w:b/>
          <w:bCs/>
          <w:color w:val="CC0000"/>
        </w:rPr>
        <w:t xml:space="preserve">[HIGH]  </w:t>
      </w:r>
      <w:r>
        <w:rPr>
          <w:b/>
          <w:bCs/>
        </w:rPr>
        <w:t xml:space="preserve">Replace the no-fault unlimited indemnity with a liability provision that applies only to loss caused by the Recipient's breach of this agreement or negligence, caps total liability at a commercial figure (for example the greater of the fees actually payable for the project and a fixed sum), excludes indirect, special and consequential loss, and preserves the Discloser's right to seek injunctive or other equitable relief for actual or threatened misuse.</w:t>
      </w:r>
    </w:p>
    <w:p>
      <w:r>
        <w:rPr>
          <w:color w:val="555555"/>
        </w:rPr>
        <w:t xml:space="preserve">Cedar Research would carry an open-ended balance-sheet liability for an evaluation-stage project. The maximum exposure cannot be quantified from the contract, which complicates insurance and internal risk approval, while Alder Signal faces no corresponding exposure for its own acts.</w:t>
      </w:r>
    </w:p>
    <w:p>
      <w:r>
        <w:rPr>
          <w:b/>
          <w:bCs/>
          <w:color w:val="CC0000"/>
        </w:rPr>
        <w:t xml:space="preserve">[HIGH]  </w:t>
      </w:r>
      <w:r>
        <w:rPr>
          <w:b/>
          <w:bCs/>
        </w:rPr>
        <w:t xml:space="preserve">Add the customary exclusions: information that is or becomes public through no fault of the Recipient; information the Recipient lawfully held without restriction before disclosure; information independently developed without use of or reference to the Confidential Information; and information lawfully received from a third party without restriction. Add that the Recipient may demonstrate any of these by its written records.</w:t>
      </w:r>
    </w:p>
    <w:p>
      <w:r>
        <w:rPr>
          <w:color w:val="555555"/>
        </w:rPr>
        <w:t xml:space="preserve">Cedar Research could be restricted from using public-domain research or its own methodology, with no contractual defence, exposing it to claims and to the indemnity in clause 7 and limiting how it can operate beyond this project.</w:t>
      </w:r>
    </w:p>
    <w:p>
      <w:r>
        <w:rPr>
          <w:b/>
          <w:bCs/>
          <w:color w:val="CC0000"/>
        </w:rPr>
        <w:t xml:space="preserve">[HIGH]  </w:t>
      </w:r>
      <w:r>
        <w:rPr>
          <w:b/>
          <w:bCs/>
        </w:rPr>
        <w:t xml:space="preserve">Limit confidentiality to a defined period after disclosure or termination (for example three to five years from disclosure), with a longer but finite period (for example seven years) for trade secrets that remain trade secrets, and align the wording with the new exclusions in clause 2.</w:t>
      </w:r>
    </w:p>
    <w:p>
      <w:r>
        <w:rPr>
          <w:color w:val="555555"/>
        </w:rPr>
        <w:t xml:space="preserve">Cedar Research would have to maintain records and confidentiality controls indefinitely for material that may be worthless, creating ongoing compliance cost and conflicting with a normal data-retention policy.</w:t>
      </w:r>
    </w:p>
    <w:p>
      <w:r>
        <w:rPr>
          <w:b/>
          <w:bCs/>
          <w:color w:val="CC0000"/>
        </w:rPr>
        <w:t xml:space="preserve">[HIGH]  </w:t>
      </w:r>
      <w:r>
        <w:rPr>
          <w:b/>
          <w:bCs/>
        </w:rPr>
        <w:t xml:space="preserve">Extend the deletion period to a workable timeframe (for example 30 days), require deletion of Confidential Information in the Recipient's possession or control rather than of records that must be retained by law, permit retention of backups until overwritten in the ordinary course and of records required by law or professional regulation (all subject to continuing confidentiality), and replace the absolute certificate with a certificate that no copy remains in active systems other than retained copies identified in the certificate.</w:t>
      </w:r>
    </w:p>
    <w:p>
      <w:r>
        <w:rPr>
          <w:color w:val="555555"/>
        </w:rPr>
        <w:t xml:space="preserve">Cedar Research would face unavoidable breach and false-certification risk, and would have to delete records it may be required to keep. The retention exception also keeps the information covered while it is held.</w:t>
      </w:r>
    </w:p>
    <w:p>
      <w:r>
        <w:rPr>
          <w:b/>
          <w:bCs/>
          <w:color w:val="CC6600"/>
        </w:rPr>
        <w:t xml:space="preserve">[MEDIUM]  </w:t>
      </w:r>
      <w:r>
        <w:rPr>
          <w:b/>
          <w:bCs/>
        </w:rPr>
        <w:t xml:space="preserve">Permit disclosure to professional advisers and to contractors, sub-contractors and cloud providers on a need-to-know basis where they are bound by confidentiality obligations no less protective than this agreement, with the Recipient remaining responsible for their compliance. If the Discloser insists on control, replace per-instance consent with a notice-and-objection mechanism for named categories of recipients.</w:t>
      </w:r>
    </w:p>
    <w:p>
      <w:r>
        <w:rPr>
          <w:color w:val="555555"/>
        </w:rPr>
        <w:t xml:space="preserve">Cedar Research could be delayed in delivering the evaluation while waiting for consent, and could inadvertently breach the agreement simply by using its ordinary IT and advisory arrangements.</w:t>
      </w:r>
    </w:p>
    <w:p>
      <w:r>
        <w:rPr>
          <w:b/>
          <w:bCs/>
          <w:color w:val="CC6600"/>
        </w:rPr>
        <w:t xml:space="preserve">[MEDIUM]  </w:t>
      </w:r>
      <w:r>
        <w:rPr>
          <w:b/>
          <w:bCs/>
        </w:rPr>
        <w:t xml:space="preserve">Remove the fictional-demonstration wording, insert the correct legal names and company numbers of the parties, identify the contact address for notices under clause 8, and confirm that the transaction description in clause 1 matches the intended evaluation before execution.</w:t>
      </w:r>
    </w:p>
    <w:p>
      <w:r>
        <w:rPr>
          <w:color w:val="555555"/>
        </w:rPr>
        <w:t xml:space="preserve">Signing without correcting identities and purpose could make the agreement enforceable against the wrong entity or leave the Purpose too vague to support the confidentiality regime.</w:t>
      </w:r>
    </w:p>
    <w:p>
      <w:r>
        <w:rPr>
          <w:b/>
          <w:bCs/>
          <w:color w:val="006600"/>
        </w:rPr>
        <w:t xml:space="preserve">[LOW]  </w:t>
      </w:r>
      <w:r>
        <w:rPr>
          <w:b/>
          <w:bCs/>
        </w:rPr>
        <w:t xml:space="preserve">Replace the acknowledgement-only rule with a deemed-receipt provision: an email notice is deemed received one business day after sending if sent on a business day before a stated cut-off time and no delivery-failure notification is received, and otherwise on the next business day. Retain the right to update contact details in writing.</w:t>
      </w:r>
    </w:p>
    <w:p>
      <w:r>
        <w:rPr>
          <w:color w:val="555555"/>
        </w:rPr>
        <w:t xml:space="preserve">Cedar Research could be accused of acting before notice took effect, or could itself be unable to make time-critical notices effective, adding avoidable procedural uncertainty.</w:t>
      </w:r>
    </w:p>
    <w:p/>
    <w:p>
      <w:r>
        <w:rPr>
          <w:color w:val="CCCCCC"/>
        </w:rPr>
        <w:t xml:space="preserve">────────────────────────────────────────────────────────────</w:t>
      </w:r>
    </w:p>
    <w:p/>
    <w:p>
      <w:pPr>
        <w:jc w:val="center"/>
      </w:pPr>
      <w:r>
        <w:rPr>
          <w:i/>
          <w:iCs/>
          <w:color w:val="888888"/>
          <w:sz w:val="16"/>
          <w:szCs w:val="16"/>
        </w:rPr>
        <w:t xml:space="preserve">Generated by AnyContract.ai for informational and negotiation-preparation purposes only.</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Review Memorandum</dc:title>
  <dc:creator>AnyContract.ai</dc:creator>
  <cp:lastModifiedBy>Un-named</cp:lastModifiedBy>
  <cp:revision>1</cp:revision>
  <dcterms:created xsi:type="dcterms:W3CDTF">2026-09-28T21:06:19.166Z</dcterms:created>
  <dcterms:modified xsi:type="dcterms:W3CDTF">2026-09-28T21:06:19.166Z</dcterms:modified>
</cp:coreProperties>
</file>

<file path=docProps/custom.xml><?xml version="1.0" encoding="utf-8"?>
<Properties xmlns="http://schemas.openxmlformats.org/officeDocument/2006/custom-properties" xmlns:vt="http://schemas.openxmlformats.org/officeDocument/2006/docPropsVTypes"/>
</file>