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AFFILIATE MARKETING AGREEMENT</w:t>
      </w:r>
    </w:p>
    <w:p>
      <w:pPr>
        <w:keepNext w:val="false"/>
        <w:keepLines/>
        <w:widowControl/>
      </w:pPr>
      <w:r>
        <w:t xml:space="preserve">Effective date: [DATE]. Complete the bracketed fields and remove unused options before signing.</w:t>
      </w:r>
    </w:p>
    <w:p>
      <w:pPr>
        <w:keepNext w:val="false"/>
        <w:keepLines/>
        <w:widowControl/>
      </w:pPr>
      <w:r>
        <w:t xml:space="preserve">Merchant: [FULL LEGAL NAME], [ADDRESS], [NOTICE EMAIL].</w:t>
      </w:r>
    </w:p>
    <w:p>
      <w:pPr>
        <w:keepNext w:val="false"/>
        <w:keepLines/>
        <w:widowControl/>
      </w:pPr>
      <w:r>
        <w:t xml:space="preserve">Affiliate: [FULL LEGAL NAME], [ADDRESS], [NOTICE EMAIL].</w:t>
      </w:r>
    </w:p>
    <w:p>
      <w:pPr>
        <w:pStyle w:val="Heading1"/>
        <w:keepNext/>
        <w:keepLines/>
        <w:widowControl/>
      </w:pPr>
      <w:r>
        <w:t xml:space="preserve">1. PROGRAM</w:t>
      </w:r>
    </w:p>
    <w:p>
      <w:pPr>
        <w:keepNext w:val="false"/>
        <w:keepLines/>
        <w:widowControl/>
      </w:pPr>
      <w:r>
        <w:t xml:space="preserve">Products or services and approved channels: [DETAILS]. Start date: [DATE]. Approved tracking links or codes: [DETAILS]. Affiliate is not authorized to bind the merchant or make unsupported product claims.</w:t>
      </w:r>
    </w:p>
    <w:p>
      <w:pPr>
        <w:pStyle w:val="Heading1"/>
        <w:keepNext/>
        <w:keepLines/>
        <w:widowControl/>
      </w:pPr>
      <w:r>
        <w:t xml:space="preserve">2. ATTRIBUTION AND COMMISSION</w:t>
      </w:r>
    </w:p>
    <w:p>
      <w:pPr>
        <w:keepNext w:val="false"/>
        <w:keepLines/>
        <w:widowControl/>
      </w:pPr>
      <w:r>
        <w:t xml:space="preserve">Commission rate and currency: [DETAILS]. Eligible transaction and attribution method: [DEFINITION]. Tracking window, duplicate referrals, returns, cancellations, taxes and exclusions: [TERMS]. No change applies retroactively to commissions already earned under the agreed rules.</w:t>
      </w:r>
    </w:p>
    <w:p>
      <w:pPr>
        <w:pStyle w:val="Heading1"/>
        <w:keepNext/>
        <w:keepLines/>
        <w:widowControl/>
      </w:pPr>
      <w:r>
        <w:t xml:space="preserve">3. STATEMENTS AND PAYMENTS</w:t>
      </w:r>
    </w:p>
    <w:p>
      <w:pPr>
        <w:keepNext w:val="false"/>
        <w:keepLines/>
        <w:widowControl/>
      </w:pPr>
      <w:r>
        <w:t xml:space="preserve">Reporting schedule, payout date and threshold: [DETAILS]. Verification period and any holdback: [TERMS]. Explain adjustments and provide supporting records on reasonable request. Commission dispute process and deadline: [DETAILS].</w:t>
      </w:r>
    </w:p>
    <w:p>
      <w:pPr>
        <w:pStyle w:val="Heading1"/>
        <w:keepNext/>
        <w:keepLines/>
        <w:widowControl/>
      </w:pPr>
      <w:r>
        <w:t xml:space="preserve">4. PROMOTION AND DATA</w:t>
      </w:r>
    </w:p>
    <w:p>
      <w:pPr>
        <w:keepNext w:val="false"/>
        <w:keepLines/>
        <w:widowControl/>
      </w:pPr>
      <w:r>
        <w:t xml:space="preserve">Disclose the commercial relationship where required. No spam, deceptive claims, self-referral abuse or prohibited bidding: [SPECIFIC RESTRICTIONS]. Approved brand license: [SCOPE]. Personal data may be collected or used only through authorized, lawful methods.</w:t>
      </w:r>
    </w:p>
    <w:p>
      <w:pPr>
        <w:pStyle w:val="Heading1"/>
        <w:keepNext/>
        <w:keepLines/>
        <w:widowControl/>
      </w:pPr>
      <w:r>
        <w:t xml:space="preserve">5. TERMINATION</w:t>
      </w:r>
    </w:p>
    <w:p>
      <w:pPr>
        <w:keepNext w:val="false"/>
        <w:keepLines/>
        <w:widowControl/>
      </w:pPr>
      <w:r>
        <w:t xml:space="preserve">Either party may end participation on [NUMBER] days' notice. Material breach cure or defined immediate suspension grounds: [DETAILS]. Remove links and brand materials after termination. Earned commissions and eligible pending referrals remain payable under [FINAL PAYOUT TERMS], except substantiated invalid transactions.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Merchant: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Affiliate: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Affiliate Marketing Agreement</dc:title>
  <dc:creator>AnyContract.ai</dc:creator>
  <dc:description>Editable contract template</dc:description>
  <cp:lastModifiedBy>Un-named</cp:lastModifiedBy>
  <cp:revision>1</cp:revision>
  <dcterms:created xsi:type="dcterms:W3CDTF">2026-10-10T00:53:09.443Z</dcterms:created>
  <dcterms:modified xsi:type="dcterms:W3CDTF">2026-10-10T00:53:09.443Z</dcterms:modified>
</cp:coreProperties>
</file>

<file path=docProps/custom.xml><?xml version="1.0" encoding="utf-8"?>
<Properties xmlns="http://schemas.openxmlformats.org/officeDocument/2006/custom-properties" xmlns:vt="http://schemas.openxmlformats.org/officeDocument/2006/docPropsVTypes"/>
</file>