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INDEMNIFICATION AGREEMENT</w:t>
      </w:r>
    </w:p>
    <w:p>
      <w:pPr>
        <w:keepNext w:val="false"/>
        <w:keepLines/>
        <w:widowControl/>
      </w:pPr>
      <w:r>
        <w:t xml:space="preserve">Effective date: [DATE]. Complete the bracketed fields and remove unused options before signing.</w:t>
      </w:r>
    </w:p>
    <w:p>
      <w:pPr>
        <w:keepNext w:val="false"/>
        <w:keepLines/>
        <w:widowControl/>
      </w:pPr>
      <w:r>
        <w:t xml:space="preserve">Indemnifying Party: [FULL LEGAL NAME], [ADDRESS], [NOTICE EMAIL].</w:t>
      </w:r>
    </w:p>
    <w:p>
      <w:pPr>
        <w:keepNext w:val="false"/>
        <w:keepLines/>
        <w:widowControl/>
      </w:pPr>
      <w:r>
        <w:t xml:space="preserve">Indemnified Party: [FULL LEGAL NAME], [ADDRESS], [NOTICE EMAIL].</w:t>
      </w:r>
    </w:p>
    <w:p>
      <w:pPr>
        <w:pStyle w:val="Heading1"/>
        <w:keepNext/>
        <w:keepLines/>
        <w:widowControl/>
      </w:pPr>
      <w:r>
        <w:t xml:space="preserve">1. COVERED CLAIMS</w:t>
      </w:r>
    </w:p>
    <w:p>
      <w:pPr>
        <w:keepNext w:val="false"/>
        <w:keepLines/>
        <w:widowControl/>
      </w:pPr>
      <w:r>
        <w:t xml:space="preserve">Covered third-party claims arise from [SPECIFIED ACTS, BREACHES OR EVENTS]. Protected persons: [LIST]. Covered amounts: [JUDGMENTS, APPROVED SETTLEMENTS AND REASONABLE DEFENSE COSTS]. Exclusions, including the protected party's own conduct: [DETAILS]. No unrelated loss is covered.</w:t>
      </w:r>
    </w:p>
    <w:p>
      <w:pPr>
        <w:pStyle w:val="Heading1"/>
        <w:keepNext/>
        <w:keepLines/>
        <w:widowControl/>
      </w:pPr>
      <w:r>
        <w:t xml:space="preserve">2. NOTICE AND DEFENSE</w:t>
      </w:r>
    </w:p>
    <w:p>
      <w:pPr>
        <w:keepNext w:val="false"/>
        <w:keepLines/>
        <w:widowControl/>
      </w:pPr>
      <w:r>
        <w:t xml:space="preserve">Give prompt notice with available details. Delay reduces coverage only to the extent of actual prejudice where permitted. Defense control, counsel selection and conflict-of-interest arrangements: [TERMS]. The protected party provides reasonable assistance at the agreed cost.</w:t>
      </w:r>
    </w:p>
    <w:p>
      <w:pPr>
        <w:pStyle w:val="Heading1"/>
        <w:keepNext/>
        <w:keepLines/>
        <w:widowControl/>
      </w:pPr>
      <w:r>
        <w:t xml:space="preserve">3. SETTLEMENT</w:t>
      </w:r>
    </w:p>
    <w:p>
      <w:pPr>
        <w:keepNext w:val="false"/>
        <w:keepLines/>
        <w:widowControl/>
      </w:pPr>
      <w:r>
        <w:t xml:space="preserve">No settlement may admit fault, impose non-monetary duties or leave the protected party exposed without its written consent. Consent standards for other settlements: [DETAILS]. No party unreasonably increases avoidable loss.</w:t>
      </w:r>
    </w:p>
    <w:p>
      <w:pPr>
        <w:pStyle w:val="Heading1"/>
        <w:keepNext/>
        <w:keepLines/>
        <w:widowControl/>
      </w:pPr>
      <w:r>
        <w:t xml:space="preserve">4. LIMITS AND INSURANCE</w:t>
      </w:r>
    </w:p>
    <w:p>
      <w:pPr>
        <w:keepNext w:val="false"/>
        <w:keepLines/>
        <w:widowControl/>
      </w:pPr>
      <w:r>
        <w:t xml:space="preserve">Overall cap, sublimits, exclusions and survival period: [DETAILS]. Insurance, deductibles and interaction with other recoveries: [TERMS]. No double recovery; liabilities that cannot lawfully be shifted remain unaffected.</w:t>
      </w:r>
    </w:p>
    <w:p>
      <w:pPr>
        <w:pStyle w:val="Heading1"/>
        <w:keepNext/>
        <w:keepLines/>
        <w:widowControl/>
      </w:pPr>
      <w:r>
        <w:t xml:space="preserve">5. PAYMENT AND DISPUTES</w:t>
      </w:r>
    </w:p>
    <w:p>
      <w:pPr>
        <w:keepNext w:val="false"/>
        <w:keepLines/>
        <w:widowControl/>
      </w:pPr>
      <w:r>
        <w:t xml:space="preserve">Supporting invoices and evidence: [DETAILS]. Payment timing and process for disputed amounts: [TERMS]. Uncontested amounts remain payable. This agreement is [STANDALONE / SUPPLEMENTS IDENTIFIED CONTRACT]; priority in a conflict: [TERMS].</w:t>
      </w:r>
    </w:p>
    <w:p>
      <w:pPr>
        <w:pStyle w:val="Heading1"/>
        <w:keepNext/>
        <w:keepLines/>
        <w:widowControl/>
      </w:pPr>
      <w:r>
        <w:t xml:space="preserve">6.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7.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8.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Indemnifying Party: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Indemnified Party: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Indemnification Agreement</dc:title>
  <dc:creator>AnyContract.ai</dc:creator>
  <dc:description>Editable contract template</dc:description>
  <cp:lastModifiedBy>Un-named</cp:lastModifiedBy>
  <cp:revision>1</cp:revision>
  <dcterms:created xsi:type="dcterms:W3CDTF">2026-10-07T22:03:06.868Z</dcterms:created>
  <dcterms:modified xsi:type="dcterms:W3CDTF">2026-10-07T22:03:06.868Z</dcterms:modified>
</cp:coreProperties>
</file>

<file path=docProps/custom.xml><?xml version="1.0" encoding="utf-8"?>
<Properties xmlns="http://schemas.openxmlformats.org/officeDocument/2006/custom-properties" xmlns:vt="http://schemas.openxmlformats.org/officeDocument/2006/docPropsVTypes"/>
</file>