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MORTGAGE AGREEMENT</w:t>
      </w:r>
    </w:p>
    <w:p>
      <w:pPr>
        <w:keepNext w:val="false"/>
        <w:keepLines/>
        <w:widowControl/>
      </w:pPr>
      <w:r>
        <w:t xml:space="preserve">Effective date: [DATE]. Complete the bracketed fields and remove unused options before signing.</w:t>
      </w:r>
    </w:p>
    <w:p>
      <w:pPr>
        <w:keepNext w:val="false"/>
        <w:keepLines/>
        <w:widowControl/>
      </w:pPr>
      <w:r>
        <w:t xml:space="preserve">Lender: [FULL LEGAL NAME], [ADDRESS], [NOTICE EMAIL].</w:t>
      </w:r>
    </w:p>
    <w:p>
      <w:pPr>
        <w:keepNext w:val="false"/>
        <w:keepLines/>
        <w:widowControl/>
      </w:pPr>
      <w:r>
        <w:t xml:space="preserve">Property Owner: [FULL LEGAL NAME], [ADDRESS], [NOTICE EMAIL].</w:t>
      </w:r>
    </w:p>
    <w:p>
      <w:pPr>
        <w:pStyle w:val="Heading1"/>
        <w:keepNext/>
        <w:keepLines/>
        <w:widowControl/>
      </w:pPr>
      <w:r>
        <w:t xml:space="preserve">1. PROPERTY AND DEBT</w:t>
      </w:r>
    </w:p>
    <w:p>
      <w:pPr>
        <w:keepNext w:val="false"/>
        <w:keepLines/>
        <w:widowControl/>
      </w:pPr>
      <w:r>
        <w:t xml:space="preserve">Property address and full legal description: [DETAILS]. Registered owner and title reference: [DETAILS]. Borrower and loan agreement: [DETAILS]. Amount and currency secured: [DETAILS]. Existing mortgages and intended priority: [DETAILS].</w:t>
      </w:r>
    </w:p>
    <w:p>
      <w:pPr>
        <w:pStyle w:val="Heading1"/>
        <w:keepNext/>
        <w:keepLines/>
        <w:widowControl/>
      </w:pPr>
      <w:r>
        <w:t xml:space="preserve">2. SECURITY INSTRUMENT</w:t>
      </w:r>
    </w:p>
    <w:p>
      <w:pPr>
        <w:keepNext w:val="false"/>
        <w:keepLines/>
        <w:widowControl/>
      </w:pPr>
      <w:r>
        <w:t xml:space="preserve">The owner agrees to execute the property-security instrument required for the property and intended transaction. Required form, registration authority, execution steps and completion deadline: [DETAILS]. This planning draft does not represent that a registrable mortgage or priority has been created.</w:t>
      </w:r>
    </w:p>
    <w:p>
      <w:pPr>
        <w:pStyle w:val="Heading1"/>
        <w:keepNext/>
        <w:keepLines/>
        <w:widowControl/>
      </w:pPr>
      <w:r>
        <w:t xml:space="preserve">3. PROPERTY OBLIGATIONS</w:t>
      </w:r>
    </w:p>
    <w:p>
      <w:pPr>
        <w:keepNext w:val="false"/>
        <w:keepLines/>
        <w:widowControl/>
      </w:pPr>
      <w:r>
        <w:t xml:space="preserve">Payment of taxes, insurance, maintenance and permitted leasing: [TERMS]. Insurance proceeds and compulsory acquisition proceeds: [APPLICATION TERMS]. Required consent for later security or disposal: [TERMS].</w:t>
      </w:r>
    </w:p>
    <w:p>
      <w:pPr>
        <w:pStyle w:val="Heading1"/>
        <w:keepNext/>
        <w:keepLines/>
        <w:widowControl/>
      </w:pPr>
      <w:r>
        <w:t xml:space="preserve">4. DEFAULT AND REMEDIES</w:t>
      </w:r>
    </w:p>
    <w:p>
      <w:pPr>
        <w:keepNext w:val="false"/>
        <w:keepLines/>
        <w:widowControl/>
      </w:pPr>
      <w:r>
        <w:t xml:space="preserve">Defaults and cure periods: [DETAILS]. Acceleration, possession, foreclosure or sale may occur only through the required procedures and notices. Any statutory reinstatement, redemption and surplus rights remain applicable.</w:t>
      </w:r>
    </w:p>
    <w:p>
      <w:pPr>
        <w:pStyle w:val="Heading1"/>
        <w:keepNext/>
        <w:keepLines/>
        <w:widowControl/>
      </w:pPr>
      <w:r>
        <w:t xml:space="preserve">5. DISCHARGE AND COSTS</w:t>
      </w:r>
    </w:p>
    <w:p>
      <w:pPr>
        <w:keepNext w:val="false"/>
        <w:keepLines/>
        <w:widowControl/>
      </w:pPr>
      <w:r>
        <w:t xml:space="preserve">When the secured debt is paid, the lender must provide the required discharge documents within [PERIOD]. Registration, valuation, insurance and discharge costs: [ITEMIZED ALLOCATION]. Underlying repayment terms remain in the identified loan agreement.</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Lender: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Property Owner: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Mortgage Agreement</dc:title>
  <dc:creator>AnyContract.ai</dc:creator>
  <dc:description>Editable contract template</dc:description>
  <cp:lastModifiedBy>Un-named</cp:lastModifiedBy>
  <cp:revision>1</cp:revision>
  <dcterms:created xsi:type="dcterms:W3CDTF">2026-10-07T17:01:30.125Z</dcterms:created>
  <dcterms:modified xsi:type="dcterms:W3CDTF">2026-10-07T17:01:30.125Z</dcterms:modified>
</cp:coreProperties>
</file>

<file path=docProps/custom.xml><?xml version="1.0" encoding="utf-8"?>
<Properties xmlns="http://schemas.openxmlformats.org/officeDocument/2006/custom-properties" xmlns:vt="http://schemas.openxmlformats.org/officeDocument/2006/docPropsVTypes"/>
</file>