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PROPERTY MANAGEMENT AGREEMENT</w:t>
      </w:r>
    </w:p>
    <w:p>
      <w:pPr>
        <w:keepNext w:val="false"/>
        <w:keepLines/>
        <w:widowControl/>
      </w:pPr>
      <w:r>
        <w:t xml:space="preserve">Effective date: [DATE]. Complete the bracketed fields and remove unused options before signing.</w:t>
      </w:r>
    </w:p>
    <w:p>
      <w:pPr>
        <w:keepNext w:val="false"/>
        <w:keepLines/>
        <w:widowControl/>
      </w:pPr>
      <w:r>
        <w:t xml:space="preserve">Owner: [FULL LEGAL NAME], [ADDRESS], [NOTICE EMAIL].</w:t>
      </w:r>
    </w:p>
    <w:p>
      <w:pPr>
        <w:keepNext w:val="false"/>
        <w:keepLines/>
        <w:widowControl/>
      </w:pPr>
      <w:r>
        <w:t xml:space="preserve">Manager: [FULL LEGAL NAME], [ADDRESS], [NOTICE EMAIL].</w:t>
      </w:r>
    </w:p>
    <w:p>
      <w:pPr>
        <w:pStyle w:val="Heading1"/>
        <w:keepNext/>
        <w:keepLines/>
        <w:widowControl/>
      </w:pPr>
      <w:r>
        <w:t xml:space="preserve">1. PROPERTY AND AUTHORITY</w:t>
      </w:r>
    </w:p>
    <w:p>
      <w:pPr>
        <w:keepNext w:val="false"/>
        <w:keepLines/>
        <w:widowControl/>
      </w:pPr>
      <w:r>
        <w:t xml:space="preserve">Properties: [ADDRESSES]. Term: [DATES / RENEWAL]. Authorized services: [LETTING / RENT COLLECTION / MAINTENANCE / OTHER]. Leasing authority and rent limits: [DETAILS]. The manager may bind the owner only within these written limits and any required license.</w:t>
      </w:r>
    </w:p>
    <w:p>
      <w:pPr>
        <w:pStyle w:val="Heading1"/>
        <w:keepNext/>
        <w:keepLines/>
        <w:widowControl/>
      </w:pPr>
      <w:r>
        <w:t xml:space="preserve">2. FEES AND FUNDS</w:t>
      </w:r>
    </w:p>
    <w:p>
      <w:pPr>
        <w:keepNext w:val="false"/>
        <w:keepLines/>
        <w:widowControl/>
      </w:pPr>
      <w:r>
        <w:t xml:space="preserve">Management fee and currency: [RATE / BASIS]. Additional fees: [LIST OR NONE]. Client funds are held separately as required; remittance and reconciliation schedule: [DETAILS]. Deposit handling follows applicable rules. Statements show income, expenses, fees and balances.</w:t>
      </w:r>
    </w:p>
    <w:p>
      <w:pPr>
        <w:pStyle w:val="Heading1"/>
        <w:keepNext/>
        <w:keepLines/>
        <w:widowControl/>
      </w:pPr>
      <w:r>
        <w:t xml:space="preserve">3. EXPENSES AND REPAIRS</w:t>
      </w:r>
    </w:p>
    <w:p>
      <w:pPr>
        <w:keepNext w:val="false"/>
        <w:keepLines/>
        <w:widowControl/>
      </w:pPr>
      <w:r>
        <w:t xml:space="preserve">Routine spending authority: [AMOUNT] per item. Higher spending needs written approval, except reasonable emergency action to prevent immediate harm within [LIMIT / PROCESS]. Vendor selection, related-party interests and markups must be disclosed. Approval contacts: [DETAILS].</w:t>
      </w:r>
    </w:p>
    <w:p>
      <w:pPr>
        <w:pStyle w:val="Heading1"/>
        <w:keepNext/>
        <w:keepLines/>
        <w:widowControl/>
      </w:pPr>
      <w:r>
        <w:t xml:space="preserve">4. OPERATIONS AND RECORDS</w:t>
      </w:r>
    </w:p>
    <w:p>
      <w:pPr>
        <w:keepNext w:val="false"/>
        <w:keepLines/>
        <w:widowControl/>
      </w:pPr>
      <w:r>
        <w:t xml:space="preserve">Inspection frequency, vacancy reports and tenant communication: [DETAILS]. Owner supplies required safety information and maintains [INSURANCE]. Manager keeps records for [PERIOD] and gives reasonable access. Personal information is handled only for management purposes with appropriate safeguards.</w:t>
      </w:r>
    </w:p>
    <w:p>
      <w:pPr>
        <w:pStyle w:val="Heading1"/>
        <w:keepNext/>
        <w:keepLines/>
        <w:widowControl/>
      </w:pPr>
      <w:r>
        <w:t xml:space="preserve">5. TERMINATION AND TRANSFER</w:t>
      </w:r>
    </w:p>
    <w:p>
      <w:pPr>
        <w:keepNext w:val="false"/>
        <w:keepLines/>
        <w:widowControl/>
      </w:pPr>
      <w:r>
        <w:t xml:space="preserve">Either party may terminate on [NUMBER] days' notice; breach cure period: [NUMBER] days. On exit, transfer keys, leases, deposits, balances and records within [NUMBER] days and provide a final statement. Outstanding fee treatment: [TERMS].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Owner: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Manager: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Management Agreement</dc:title>
  <dc:creator>AnyContract.ai</dc:creator>
  <dc:description>Editable contract template</dc:description>
  <cp:lastModifiedBy>Un-named</cp:lastModifiedBy>
  <cp:revision>1</cp:revision>
  <dcterms:created xsi:type="dcterms:W3CDTF">2026-10-07T17:01:44.109Z</dcterms:created>
  <dcterms:modified xsi:type="dcterms:W3CDTF">2026-10-07T17:01:44.109Z</dcterms:modified>
</cp:coreProperties>
</file>

<file path=docProps/custom.xml><?xml version="1.0" encoding="utf-8"?>
<Properties xmlns="http://schemas.openxmlformats.org/officeDocument/2006/custom-properties" xmlns:vt="http://schemas.openxmlformats.org/officeDocument/2006/docPropsVTypes"/>
</file>