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SHAREHOLDER AGREEMENT</w:t>
      </w:r>
    </w:p>
    <w:p>
      <w:pPr>
        <w:keepNext w:val="false"/>
        <w:keepLines/>
        <w:widowControl/>
      </w:pPr>
      <w:r>
        <w:t xml:space="preserve">Effective date: [DATE]. Complete the bracketed fields and remove unused options before signing.</w:t>
      </w:r>
    </w:p>
    <w:p>
      <w:pPr>
        <w:keepNext w:val="false"/>
        <w:keepLines/>
        <w:widowControl/>
      </w:pPr>
      <w:r>
        <w:t xml:space="preserve">Shareholder A: [FULL LEGAL NAME], [ADDRESS], [NOTICE EMAIL].</w:t>
      </w:r>
    </w:p>
    <w:p>
      <w:pPr>
        <w:keepNext w:val="false"/>
        <w:keepLines/>
        <w:widowControl/>
      </w:pPr>
      <w:r>
        <w:t xml:space="preserve">Shareholder B: [FULL LEGAL NAME], [ADDRESS], [NOTICE EMAIL].</w:t>
      </w:r>
    </w:p>
    <w:p>
      <w:pPr>
        <w:keepNext w:val="false"/>
        <w:keepLines/>
        <w:widowControl/>
      </w:pPr>
      <w:r>
        <w:t xml:space="preserve">Company: [FULL LEGAL NAME], [ADDRESS], [NOTICE EMAIL].</w:t>
      </w:r>
    </w:p>
    <w:p>
      <w:pPr>
        <w:pStyle w:val="Heading1"/>
        <w:keepNext/>
        <w:keepLines/>
        <w:widowControl/>
      </w:pPr>
      <w:r>
        <w:t xml:space="preserve">1. COMPANY AND HOLDINGS</w:t>
      </w:r>
    </w:p>
    <w:p>
      <w:pPr>
        <w:keepNext w:val="false"/>
        <w:keepLines/>
        <w:widowControl/>
      </w:pPr>
      <w:r>
        <w:t xml:space="preserve">Company name, registration details and governing constitutional documents: [DETAILS]. Each shareholder's class, number of shares and fully diluted percentage: [LIST]. This agreement must be coordinated with the company's constitutional documents and mandatory company law.</w:t>
      </w:r>
    </w:p>
    <w:p>
      <w:pPr>
        <w:pStyle w:val="Heading1"/>
        <w:keepNext/>
        <w:keepLines/>
        <w:widowControl/>
      </w:pPr>
      <w:r>
        <w:t xml:space="preserve">2. GOVERNANCE</w:t>
      </w:r>
    </w:p>
    <w:p>
      <w:pPr>
        <w:keepNext w:val="false"/>
        <w:keepLines/>
        <w:widowControl/>
      </w:pPr>
      <w:r>
        <w:t xml:space="preserve">Board appointment rights, quorum and voting: [TERMS]. Reserved matters and approval thresholds: [LIST]. Conflict disclosure and interested-party voting: [PROCESS]. Information access, budgets and financial reporting: [DETAILS].</w:t>
      </w:r>
    </w:p>
    <w:p>
      <w:pPr>
        <w:pStyle w:val="Heading1"/>
        <w:keepNext/>
        <w:keepLines/>
        <w:widowControl/>
      </w:pPr>
      <w:r>
        <w:t xml:space="preserve">3. FUNDING AND DISTRIBUTIONS</w:t>
      </w:r>
    </w:p>
    <w:p>
      <w:pPr>
        <w:keepNext w:val="false"/>
        <w:keepLines/>
        <w:widowControl/>
      </w:pPr>
      <w:r>
        <w:t xml:space="preserve">Further funding, pre-emption on new issues and dilution process: [TERMS]. No shareholder must provide extra capital or guarantees except as expressly agreed. Dividend policy is [TERMS], subject to lawful distribution and solvency rules.</w:t>
      </w:r>
    </w:p>
    <w:p>
      <w:pPr>
        <w:pStyle w:val="Heading1"/>
        <w:keepNext/>
        <w:keepLines/>
        <w:widowControl/>
      </w:pPr>
      <w:r>
        <w:t xml:space="preserve">4. TRANSFERS</w:t>
      </w:r>
    </w:p>
    <w:p>
      <w:pPr>
        <w:keepNext w:val="false"/>
        <w:keepLines/>
        <w:widowControl/>
      </w:pPr>
      <w:r>
        <w:t xml:space="preserve">Permitted transfers and required adherence by a new holder: [DETAILS]. Rights of first refusal, notice periods and pricing: [TERMS]. Tag-along and drag-along rights, if chosen, including thresholds and equal-treatment protections: [COMPLETE TERMS OR NONE].</w:t>
      </w:r>
    </w:p>
    <w:p>
      <w:pPr>
        <w:pStyle w:val="Heading1"/>
        <w:keepNext/>
        <w:keepLines/>
        <w:widowControl/>
      </w:pPr>
      <w:r>
        <w:t xml:space="preserve">5. EXIT AND DISPUTES</w:t>
      </w:r>
    </w:p>
    <w:p>
      <w:pPr>
        <w:keepNext w:val="false"/>
        <w:keepLines/>
        <w:widowControl/>
      </w:pPr>
      <w:r>
        <w:t xml:space="preserve">Death, incapacity, departure or material breach triggers: [DETAILS]. Valuation method, valuer appointment, disputed value process and payment schedule: [TERMS]. Deadlock escalation and eventual exit mechanism: [PROCESS]. Confidentiality survives for [PERIOD], subject to protected disclosures.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Shareholder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Shareholder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Company: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 Agreement</dc:title>
  <dc:creator>AnyContract.ai</dc:creator>
  <dc:description>Editable contract template</dc:description>
  <cp:lastModifiedBy>Un-named</cp:lastModifiedBy>
  <cp:revision>1</cp:revision>
  <dcterms:created xsi:type="dcterms:W3CDTF">2026-10-07T22:11:56.917Z</dcterms:created>
  <dcterms:modified xsi:type="dcterms:W3CDTF">2026-10-07T22:11:56.917Z</dcterms:modified>
</cp:coreProperties>
</file>

<file path=docProps/custom.xml><?xml version="1.0" encoding="utf-8"?>
<Properties xmlns="http://schemas.openxmlformats.org/officeDocument/2006/custom-properties" xmlns:vt="http://schemas.openxmlformats.org/officeDocument/2006/docPropsVTypes"/>
</file>