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SUBLETTING AGREEMENT</w:t>
      </w:r>
    </w:p>
    <w:p>
      <w:pPr>
        <w:keepNext w:val="false"/>
        <w:keepLines/>
        <w:widowControl/>
      </w:pPr>
      <w:r>
        <w:t xml:space="preserve">Effective date: [DATE]. Complete the bracketed fields and remove unused options before signing.</w:t>
      </w:r>
    </w:p>
    <w:p>
      <w:pPr>
        <w:keepNext w:val="false"/>
        <w:keepLines/>
        <w:widowControl/>
      </w:pPr>
      <w:r>
        <w:t xml:space="preserve">Head Tenant: [FULL LEGAL NAME], [ADDRESS], [NOTICE EMAIL].</w:t>
      </w:r>
    </w:p>
    <w:p>
      <w:pPr>
        <w:keepNext w:val="false"/>
        <w:keepLines/>
        <w:widowControl/>
      </w:pPr>
      <w:r>
        <w:t xml:space="preserve">Subtenant: [FULL LEGAL NAME], [ADDRESS], [NOTICE EMAIL].</w:t>
      </w:r>
    </w:p>
    <w:p>
      <w:pPr>
        <w:pStyle w:val="Heading1"/>
        <w:keepNext/>
        <w:keepLines/>
        <w:widowControl/>
      </w:pPr>
      <w:r>
        <w:t xml:space="preserve">1. MAIN TENANCY AND CONSENT</w:t>
      </w:r>
    </w:p>
    <w:p>
      <w:pPr>
        <w:keepNext w:val="false"/>
        <w:keepLines/>
        <w:widowControl/>
      </w:pPr>
      <w:r>
        <w:t xml:space="preserve">Premises: [ADDRESS / AREAS]. Main lease date, parties and expiry: [DETAILS]. Required landlord consent: [WRITTEN CONSENT REFERENCE OR NOT REQUIRED]. The subtenancy begins only after required consent is obtained. Attach the relevant main lease terms and consent.</w:t>
      </w:r>
    </w:p>
    <w:p>
      <w:pPr>
        <w:pStyle w:val="Heading1"/>
        <w:keepNext/>
        <w:keepLines/>
        <w:widowControl/>
      </w:pPr>
      <w:r>
        <w:t xml:space="preserve">2. TERM AND CHARGES</w:t>
      </w:r>
    </w:p>
    <w:p>
      <w:pPr>
        <w:keepNext w:val="false"/>
        <w:keepLines/>
        <w:widowControl/>
      </w:pPr>
      <w:r>
        <w:t xml:space="preserve">Subtenancy: [START / END], not beyond the authorized main lease term. Rent and currency: [AMOUNT / PERIOD]. Due dates, utilities and deposit handling: [DETAILS], subject to mandatory tenancy protections.</w:t>
      </w:r>
    </w:p>
    <w:p>
      <w:pPr>
        <w:pStyle w:val="Heading1"/>
        <w:keepNext/>
        <w:keepLines/>
        <w:widowControl/>
      </w:pPr>
      <w:r>
        <w:t xml:space="preserve">3. USE AND CONDITION</w:t>
      </w:r>
    </w:p>
    <w:p>
      <w:pPr>
        <w:keepNext w:val="false"/>
        <w:keepLines/>
        <w:widowControl/>
      </w:pPr>
      <w:r>
        <w:t xml:space="preserve">Occupants and permitted use: [DETAILS]. The subtenant receives the attached rules and must not cause the head tenant to breach disclosed applicable terms. Furniture, condition and keys: [LIST / RECORD]. Maintenance and repair contacts: [DETAILS].</w:t>
      </w:r>
    </w:p>
    <w:p>
      <w:pPr>
        <w:pStyle w:val="Heading1"/>
        <w:keepNext/>
        <w:keepLines/>
        <w:widowControl/>
      </w:pPr>
      <w:r>
        <w:t xml:space="preserve">4. RESPONSIBILITIES</w:t>
      </w:r>
    </w:p>
    <w:p>
      <w:pPr>
        <w:keepNext w:val="false"/>
        <w:keepLines/>
        <w:widowControl/>
      </w:pPr>
      <w:r>
        <w:t xml:space="preserve">The head tenant remains responsible to the landlord unless the landlord agrees otherwise. Access, repair duties and deposit deductions must follow applicable requirements. The head tenant promptly forwards relevant notices affecting occupancy.</w:t>
      </w:r>
    </w:p>
    <w:p>
      <w:pPr>
        <w:pStyle w:val="Heading1"/>
        <w:keepNext/>
        <w:keepLines/>
        <w:widowControl/>
      </w:pPr>
      <w:r>
        <w:t xml:space="preserve">5. END AND POSSESSION</w:t>
      </w:r>
    </w:p>
    <w:p>
      <w:pPr>
        <w:keepNext w:val="false"/>
        <w:keepLines/>
        <w:widowControl/>
      </w:pPr>
      <w:r>
        <w:t xml:space="preserve">Notice and early termination: [TERMS]. If the main tenancy may end, promptly notify the subtenant and address lawful notice, refunds and relocation arrangements: [DETAILS]. Return keys and complete a documented condition inspection. No unlawful eviction or lockout is authorized.</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Head Tenant: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Subtenant: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Subletting Agreement</dc:title>
  <dc:creator>AnyContract.ai</dc:creator>
  <dc:description>Editable contract template</dc:description>
  <cp:lastModifiedBy>Un-named</cp:lastModifiedBy>
  <cp:revision>1</cp:revision>
  <dcterms:created xsi:type="dcterms:W3CDTF">2026-10-07T02:26:00.323Z</dcterms:created>
  <dcterms:modified xsi:type="dcterms:W3CDTF">2026-10-07T02:26:00.324Z</dcterms:modified>
</cp:coreProperties>
</file>

<file path=docProps/custom.xml><?xml version="1.0" encoding="utf-8"?>
<Properties xmlns="http://schemas.openxmlformats.org/officeDocument/2006/custom-properties" xmlns:vt="http://schemas.openxmlformats.org/officeDocument/2006/docPropsVTypes"/>
</file>