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Consulting Services Agreement</w:t>
      </w:r>
    </w:p>
    <w:p>
      <w:r>
        <w:t>FICTIONAL TEST DOCUMENT — No real parties or transaction. Test ID AC20260925.</w:t>
      </w:r>
    </w:p>
    <w:p>
      <w:r>
        <w:t>This agreement is made on 25 September 2026 between Alder Test Systems Ltd (Client) and Rowan Demo Consulting Ltd (Consultant), both fictional companies in England.</w:t>
      </w:r>
    </w:p>
    <w:p>
      <w:r>
        <w:rPr>
          <w:b/>
        </w:rPr>
        <w:t>1 Services</w:t>
      </w:r>
    </w:p>
    <w:p>
      <w:r>
        <w:t>Consultant will deliver a written market research report of 20 pages by 30 November 2026. Client may add unlimited tasks, revisions and meetings at no extra charge.</w:t>
      </w:r>
    </w:p>
    <w:p>
      <w:r>
        <w:rPr>
          <w:b/>
        </w:rPr>
        <w:t>2 Term</w:t>
      </w:r>
    </w:p>
    <w:p>
      <w:r>
        <w:t>The engagement runs from 1 October 2026 to 31 December 2026 unless terminated earlier under clause 6.</w:t>
      </w:r>
    </w:p>
    <w:p>
      <w:r>
        <w:rPr>
          <w:b/>
        </w:rPr>
        <w:t>3 Fees and Payment</w:t>
      </w:r>
    </w:p>
    <w:p>
      <w:r>
        <w:t>The fixed fee is GBP 12,000 plus applicable VAT. Consultant invoices GBP 6,000 on commencement and GBP 6,000 on delivery. Each invoice is payable within 30 days.</w:t>
      </w:r>
    </w:p>
    <w:p>
      <w:r>
        <w:rPr>
          <w:b/>
        </w:rPr>
        <w:t>4 Acceptance</w:t>
      </w:r>
    </w:p>
    <w:p>
      <w:r>
        <w:t>Deliverables are accepted only when Client is satisfied in its sole discretion. There is no review deadline, objective acceptance criteria or deemed acceptance. Client may withhold all fees while any issue is disputed.</w:t>
      </w:r>
    </w:p>
    <w:p>
      <w:r>
        <w:rPr>
          <w:b/>
        </w:rPr>
        <w:t>5 Intellectual Property</w:t>
      </w:r>
    </w:p>
    <w:p>
      <w:r>
        <w:t>All intellectual property used or developed by Consultant, including pre-existing templates, software, methods and know-how, becomes Client property immediately, regardless of payment.</w:t>
      </w:r>
    </w:p>
    <w:p>
      <w:r>
        <w:rPr>
          <w:b/>
        </w:rPr>
        <w:t>6 Termination</w:t>
      </w:r>
    </w:p>
    <w:p>
      <w:r>
        <w:t>Client may terminate at any time without notice and without paying for work already performed. Consultant may not terminate or suspend services, including for non-payment.</w:t>
      </w:r>
    </w:p>
    <w:p>
      <w:r>
        <w:rPr>
          <w:b/>
        </w:rPr>
        <w:t>7 Liability and Indemnity</w:t>
      </w:r>
    </w:p>
    <w:p>
      <w:r>
        <w:t>Consultant has unlimited liability for all direct and indirect losses, lost profits and third-party claims arising in connection with this agreement, including losses caused by Client. Client liability is limited to GBP 100.</w:t>
      </w:r>
    </w:p>
    <w:p>
      <w:r>
        <w:rPr>
          <w:b/>
        </w:rPr>
        <w:t>8 Confidentiality</w:t>
      </w:r>
    </w:p>
    <w:p>
      <w:r>
        <w:t>Consultant must keep all information confidential forever, without exceptions for public information, prior knowledge, independent development or legally compelled disclosure. Client has no confidentiality obligations.</w:t>
      </w:r>
    </w:p>
    <w:p>
      <w:r>
        <w:rPr>
          <w:b/>
        </w:rPr>
        <w:t>9 Restrictions</w:t>
      </w:r>
    </w:p>
    <w:p>
      <w:r>
        <w:t>For five years after termination Consultant must not provide any services to any business anywhere in the world that competes with Client.</w:t>
      </w:r>
    </w:p>
    <w:p>
      <w:r>
        <w:rPr>
          <w:b/>
        </w:rPr>
        <w:t>10 Governing Law and Courts</w:t>
      </w:r>
    </w:p>
    <w:p>
      <w:r>
        <w:t>This agreement is governed by the laws of England and Wales. The courts of England and Wales have exclusive jurisdiction.</w:t>
      </w:r>
    </w:p>
    <w:p>
      <w:r>
        <w:rPr>
          <w:b/>
        </w:rPr>
        <w:t>11 Notices and Entire Agreement</w:t>
      </w:r>
    </w:p>
    <w:p>
      <w:r>
        <w:t>Notices may be delivered to each party by email at its last notified address. This agreement contains the entire agreement. Amendments must be agreed in writing by both parties, subject to clause 12.</w:t>
      </w:r>
    </w:p>
    <w:p>
      <w:r>
        <w:rPr>
          <w:b/>
        </w:rPr>
        <w:t>12 Fee Override</w:t>
      </w:r>
    </w:p>
    <w:p>
      <w:r>
        <w:t>Notwithstanding clauses 3 and 11, Client may reduce the fixed fee by up to 50 percent at any time, including after delivery, without Consultant consent. This clause prevails over inconsistent terms.</w:t>
      </w:r>
    </w:p>
    <w:p>
      <w:r>
        <w:t>Client signature __________________    Consultant signature __________________</w:t>
      </w:r>
    </w:p>
    <w:sectPr w:rsidR="00FC693F" w:rsidRPr="0006063C" w:rsidSect="00034616">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